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52"/>
          <w:szCs w:val="52"/>
        </w:rPr>
      </w:pPr>
      <w:r>
        <w:rPr>
          <w:rFonts w:hint="eastAsia" w:ascii="方正小标宋_GBK" w:eastAsia="方正小标宋_GBK"/>
          <w:sz w:val="52"/>
          <w:szCs w:val="52"/>
        </w:rPr>
        <w:t>项目支出绩效报告</w:t>
      </w:r>
      <w:r>
        <w:rPr>
          <w:rFonts w:hint="eastAsia" w:ascii="方正小标宋_GBK" w:eastAsia="方正小标宋_GBK"/>
          <w:sz w:val="52"/>
          <w:szCs w:val="52"/>
          <w:lang w:eastAsia="zh-CN"/>
        </w:rPr>
        <w:t>（自评）</w:t>
      </w:r>
    </w:p>
    <w:p>
      <w:pPr>
        <w:spacing w:line="600" w:lineRule="exact"/>
        <w:ind w:firstLine="594" w:firstLineChars="200"/>
        <w:rPr>
          <w:rFonts w:ascii="仿宋_GB2312"/>
          <w:b/>
          <w:szCs w:val="32"/>
        </w:rPr>
      </w:pPr>
    </w:p>
    <w:p>
      <w:pPr>
        <w:topLinePunct/>
        <w:ind w:firstLine="594" w:firstLineChars="200"/>
        <w:rPr>
          <w:rFonts w:hint="eastAsia" w:ascii="仿宋_GB2312" w:hAnsi="仿宋_GB2312" w:eastAsia="仿宋_GB2312" w:cs="仿宋_GB2312"/>
          <w:b/>
          <w:bCs/>
          <w:szCs w:val="32"/>
        </w:rPr>
      </w:pPr>
      <w:r>
        <w:rPr>
          <w:rFonts w:hint="eastAsia" w:ascii="仿宋_GB2312" w:hAnsi="仿宋_GB2312" w:eastAsia="仿宋_GB2312" w:cs="仿宋_GB2312"/>
          <w:b/>
          <w:bCs/>
          <w:szCs w:val="32"/>
        </w:rPr>
        <w:t>一、项目基本情况</w:t>
      </w:r>
    </w:p>
    <w:p>
      <w:pPr>
        <w:spacing w:line="600" w:lineRule="exa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（一）项目基本情况</w:t>
      </w:r>
    </w:p>
    <w:p>
      <w:pPr>
        <w:spacing w:line="600" w:lineRule="exa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根据《昆明市人民政府办公室关于印发昆明市推进货车非法改装和超限超载治理工作实施方案的通知》（昆政办〔2017〕159号）、</w:t>
      </w:r>
      <w:r>
        <w:rPr>
          <w:rFonts w:hint="eastAsia" w:ascii="仿宋_GB2312" w:hAnsi="仿宋_GB2312" w:eastAsia="仿宋_GB2312" w:cs="仿宋_GB2312"/>
          <w:szCs w:val="32"/>
          <w:lang w:val="en-US" w:eastAsia="zh-CN"/>
        </w:rPr>
        <w:t>《昆明市2021</w:t>
      </w:r>
      <w:r>
        <w:rPr>
          <w:rFonts w:hint="eastAsia" w:ascii="仿宋_GB2312" w:hAnsi="仿宋_GB2312" w:eastAsia="仿宋_GB2312" w:cs="仿宋_GB2312"/>
          <w:szCs w:val="32"/>
        </w:rPr>
        <w:t>年</w:t>
      </w:r>
      <w:r>
        <w:rPr>
          <w:rFonts w:hint="eastAsia" w:ascii="仿宋_GB2312" w:hAnsi="仿宋_GB2312" w:eastAsia="仿宋_GB2312" w:cs="仿宋_GB2312"/>
          <w:szCs w:val="32"/>
          <w:lang w:eastAsia="zh-CN"/>
        </w:rPr>
        <w:t>度</w:t>
      </w:r>
      <w:r>
        <w:rPr>
          <w:rFonts w:hint="eastAsia" w:ascii="仿宋_GB2312" w:hAnsi="仿宋_GB2312" w:eastAsia="仿宋_GB2312" w:cs="仿宋_GB2312"/>
          <w:szCs w:val="32"/>
        </w:rPr>
        <w:t>治理</w:t>
      </w:r>
      <w:r>
        <w:rPr>
          <w:rFonts w:hint="eastAsia" w:ascii="仿宋_GB2312" w:hAnsi="仿宋_GB2312" w:eastAsia="仿宋_GB2312" w:cs="仿宋_GB2312"/>
          <w:szCs w:val="32"/>
          <w:lang w:eastAsia="zh-CN"/>
        </w:rPr>
        <w:t>车辆</w:t>
      </w:r>
      <w:r>
        <w:rPr>
          <w:rFonts w:hint="eastAsia" w:ascii="仿宋_GB2312" w:hAnsi="仿宋_GB2312" w:eastAsia="仿宋_GB2312" w:cs="仿宋_GB2312"/>
          <w:szCs w:val="32"/>
        </w:rPr>
        <w:t>超限超载工作要点》（昆治超办〔20</w:t>
      </w:r>
      <w:r>
        <w:rPr>
          <w:rFonts w:hint="eastAsia" w:ascii="仿宋_GB2312" w:hAnsi="仿宋_GB2312" w:eastAsia="仿宋_GB2312" w:cs="仿宋_GB2312"/>
          <w:szCs w:val="32"/>
          <w:lang w:val="en-US" w:eastAsia="zh-CN"/>
        </w:rPr>
        <w:t>21</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号）和</w:t>
      </w:r>
      <w:r>
        <w:rPr>
          <w:rFonts w:hint="eastAsia" w:ascii="仿宋_GB2312" w:hAnsi="仿宋_GB2312" w:eastAsia="仿宋_GB2312" w:cs="仿宋_GB2312"/>
          <w:szCs w:val="32"/>
          <w:lang w:eastAsia="zh-CN"/>
        </w:rPr>
        <w:t>《关于印发昆明市2021年公路货车非法改装和超限超载集中整治行动方案的通知》（昆治超办</w:t>
      </w: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号</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精神，认真贯彻落实货车非法改装和超限超载治理相关规定和要求，进一步加强昆明市呈贡区货车非法改装和超限超载治理工作，切实保护公路桥梁和广大人民群众生命财产安全。</w:t>
      </w:r>
    </w:p>
    <w:p>
      <w:pPr>
        <w:spacing w:line="600" w:lineRule="exa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呈贡区农村公路路政管理联动协管机制：按照《昆明市人民政府办公厅关于贯彻落实省政府办公厅进一步加强农村公路路政管理工作文件的实施意见》（昆政办［2015］158号）文件精神及全市农村公路路政管理工作会议精神，呈贡区为第一批率先启动农村公路路政管理联动协管机制建设工作的县区。依据《昆明市呈贡区人民政府关于区交运局农村公路路政管理联动协管机制补助经费的批复》（呈政复［2016］85号）文件精神，自2017年起，将农村公路路政管理联动协管机制建设经费列入区财政年初预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实现农村公路路政管理的常态化、规范化、科学化。</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（二）绩效目标设定及指标完成情况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按照</w:t>
      </w:r>
      <w:r>
        <w:rPr>
          <w:rFonts w:hint="eastAsia" w:ascii="仿宋_GB2312" w:hAnsi="仿宋_GB2312" w:eastAsia="仿宋_GB2312" w:cs="仿宋_GB2312"/>
          <w:szCs w:val="32"/>
          <w:lang w:val="en-US" w:eastAsia="zh-CN"/>
        </w:rPr>
        <w:t>2021</w:t>
      </w:r>
      <w:r>
        <w:rPr>
          <w:rFonts w:hint="eastAsia" w:ascii="仿宋_GB2312" w:hAnsi="仿宋_GB2312" w:eastAsia="仿宋_GB2312" w:cs="仿宋_GB2312"/>
          <w:szCs w:val="32"/>
        </w:rPr>
        <w:t>年年初制定的工作计划，有序开展各项工作。</w:t>
      </w:r>
    </w:p>
    <w:p>
      <w:pPr>
        <w:topLinePunct/>
        <w:ind w:firstLine="594" w:firstLineChars="200"/>
        <w:rPr>
          <w:rFonts w:hint="eastAsia" w:ascii="仿宋_GB2312" w:hAnsi="仿宋_GB2312" w:eastAsia="仿宋_GB2312" w:cs="仿宋_GB2312"/>
          <w:b/>
          <w:bCs/>
          <w:szCs w:val="32"/>
        </w:rPr>
      </w:pPr>
      <w:r>
        <w:rPr>
          <w:rFonts w:hint="eastAsia" w:ascii="仿宋_GB2312" w:hAnsi="仿宋_GB2312" w:eastAsia="仿宋_GB2312" w:cs="仿宋_GB2312"/>
          <w:b/>
          <w:bCs/>
          <w:szCs w:val="32"/>
        </w:rPr>
        <w:t>二、</w:t>
      </w:r>
      <w:r>
        <w:rPr>
          <w:rFonts w:hint="eastAsia" w:ascii="仿宋_GB2312" w:hAnsi="仿宋_GB2312" w:eastAsia="仿宋_GB2312" w:cs="仿宋_GB2312"/>
          <w:b/>
          <w:bCs/>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（一）</w:t>
      </w:r>
      <w:r>
        <w:rPr>
          <w:rFonts w:hint="eastAsia" w:ascii="仿宋_GB2312" w:hAnsi="仿宋_GB2312" w:eastAsia="仿宋_GB2312" w:cs="仿宋_GB2312"/>
          <w:szCs w:val="32"/>
        </w:rPr>
        <w:t>项目资金安排、</w:t>
      </w:r>
      <w:r>
        <w:rPr>
          <w:rFonts w:hint="eastAsia" w:ascii="仿宋_GB2312" w:hAnsi="仿宋_GB2312" w:eastAsia="仿宋_GB2312" w:cs="仿宋_GB2312"/>
          <w:szCs w:val="32"/>
          <w:lang w:eastAsia="zh-CN"/>
        </w:rPr>
        <w:t>使用</w:t>
      </w:r>
      <w:r>
        <w:rPr>
          <w:rFonts w:hint="eastAsia" w:ascii="仿宋_GB2312" w:hAnsi="仿宋_GB2312" w:eastAsia="仿宋_GB2312" w:cs="仿宋_GB2312"/>
          <w:szCs w:val="32"/>
        </w:rPr>
        <w:t>情况</w:t>
      </w:r>
    </w:p>
    <w:p>
      <w:pPr>
        <w:spacing w:line="600" w:lineRule="exact"/>
        <w:ind w:firstLine="594" w:firstLineChars="200"/>
        <w:rPr>
          <w:rFonts w:hint="eastAsia" w:ascii="仿宋_GB2312" w:hAnsi="仿宋_GB2312" w:eastAsia="仿宋_GB2312" w:cs="仿宋_GB2312"/>
          <w:color w:val="auto"/>
          <w:szCs w:val="32"/>
        </w:rPr>
      </w:pPr>
      <w:r>
        <w:rPr>
          <w:rFonts w:hint="eastAsia" w:ascii="仿宋_GB2312" w:hAnsi="仿宋_GB2312" w:eastAsia="仿宋_GB2312" w:cs="仿宋_GB2312"/>
          <w:szCs w:val="32"/>
        </w:rPr>
        <w:t>1</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呈贡区超限运输检测站治超经费：</w:t>
      </w:r>
      <w:r>
        <w:rPr>
          <w:rFonts w:hint="eastAsia" w:ascii="仿宋_GB2312" w:hAnsi="仿宋_GB2312" w:eastAsia="仿宋_GB2312" w:cs="仿宋_GB2312"/>
          <w:szCs w:val="32"/>
          <w:lang w:val="en-US"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rPr>
        <w:t>年到位资金为</w:t>
      </w:r>
      <w:r>
        <w:rPr>
          <w:rFonts w:hint="eastAsia" w:ascii="仿宋_GB2312" w:hAnsi="仿宋_GB2312" w:cs="仿宋_GB2312"/>
          <w:szCs w:val="32"/>
          <w:lang w:val="en-US" w:eastAsia="zh-CN"/>
        </w:rPr>
        <w:t>41.17</w:t>
      </w:r>
      <w:r>
        <w:rPr>
          <w:rFonts w:hint="eastAsia" w:ascii="仿宋_GB2312" w:hAnsi="仿宋_GB2312" w:cs="仿宋_GB2312"/>
          <w:color w:val="auto"/>
          <w:szCs w:val="32"/>
          <w:lang w:val="en-US" w:eastAsia="zh-CN"/>
        </w:rPr>
        <w:t>万</w:t>
      </w:r>
      <w:r>
        <w:rPr>
          <w:rFonts w:hint="eastAsia" w:ascii="仿宋_GB2312" w:hAnsi="仿宋_GB2312" w:eastAsia="仿宋_GB2312" w:cs="仿宋_GB2312"/>
          <w:color w:val="auto"/>
          <w:szCs w:val="32"/>
        </w:rPr>
        <w:t>元，支出数为</w:t>
      </w:r>
      <w:r>
        <w:rPr>
          <w:rFonts w:hint="eastAsia" w:ascii="仿宋_GB2312" w:hAnsi="仿宋_GB2312" w:cs="仿宋_GB2312"/>
          <w:color w:val="auto"/>
          <w:szCs w:val="32"/>
          <w:lang w:val="en-US" w:eastAsia="zh-CN"/>
        </w:rPr>
        <w:t>41.17万</w:t>
      </w:r>
      <w:r>
        <w:rPr>
          <w:rFonts w:hint="eastAsia" w:ascii="仿宋_GB2312" w:hAnsi="仿宋_GB2312" w:eastAsia="仿宋_GB2312" w:cs="仿宋_GB2312"/>
          <w:color w:val="auto"/>
          <w:szCs w:val="32"/>
        </w:rPr>
        <w:t>元，年末结余为</w:t>
      </w:r>
      <w:r>
        <w:rPr>
          <w:rFonts w:hint="eastAsia" w:ascii="仿宋_GB2312" w:hAnsi="仿宋_GB2312" w:cs="仿宋_GB2312"/>
          <w:color w:val="auto"/>
          <w:szCs w:val="32"/>
          <w:lang w:val="en-US" w:eastAsia="zh-CN"/>
        </w:rPr>
        <w:t>0</w:t>
      </w:r>
      <w:r>
        <w:rPr>
          <w:rFonts w:hint="eastAsia" w:ascii="仿宋_GB2312" w:hAnsi="仿宋_GB2312" w:eastAsia="仿宋_GB2312" w:cs="仿宋_GB2312"/>
          <w:color w:val="auto"/>
          <w:szCs w:val="32"/>
        </w:rPr>
        <w:t>元。</w:t>
      </w:r>
    </w:p>
    <w:p>
      <w:pPr>
        <w:spacing w:line="600" w:lineRule="exa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全市治超非现场执法检测点建设补助专项资金：</w:t>
      </w:r>
      <w:r>
        <w:rPr>
          <w:rFonts w:hint="eastAsia" w:ascii="仿宋_GB2312" w:hAnsi="仿宋_GB2312" w:eastAsia="仿宋_GB2312" w:cs="仿宋_GB2312"/>
          <w:szCs w:val="32"/>
          <w:lang w:val="en-US"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rPr>
        <w:t>年到位资</w:t>
      </w:r>
      <w:r>
        <w:rPr>
          <w:rFonts w:hint="eastAsia" w:ascii="仿宋_GB2312" w:hAnsi="仿宋_GB2312" w:eastAsia="仿宋_GB2312" w:cs="仿宋_GB2312"/>
          <w:color w:val="auto"/>
          <w:szCs w:val="32"/>
        </w:rPr>
        <w:t>金为</w:t>
      </w:r>
      <w:r>
        <w:rPr>
          <w:rFonts w:hint="eastAsia" w:ascii="仿宋_GB2312" w:hAnsi="仿宋_GB2312" w:cs="仿宋_GB2312"/>
          <w:color w:val="auto"/>
          <w:szCs w:val="32"/>
          <w:lang w:val="en-US" w:eastAsia="zh-CN"/>
        </w:rPr>
        <w:t>6.75万</w:t>
      </w:r>
      <w:r>
        <w:rPr>
          <w:rFonts w:hint="eastAsia" w:ascii="仿宋_GB2312" w:hAnsi="仿宋_GB2312" w:eastAsia="仿宋_GB2312" w:cs="仿宋_GB2312"/>
          <w:color w:val="auto"/>
          <w:szCs w:val="32"/>
        </w:rPr>
        <w:t>元，支出数为</w:t>
      </w:r>
      <w:r>
        <w:rPr>
          <w:rFonts w:hint="eastAsia" w:ascii="仿宋_GB2312" w:hAnsi="仿宋_GB2312" w:cs="仿宋_GB2312"/>
          <w:color w:val="auto"/>
          <w:szCs w:val="32"/>
          <w:lang w:val="en-US" w:eastAsia="zh-CN"/>
        </w:rPr>
        <w:t>6.75万</w:t>
      </w:r>
      <w:r>
        <w:rPr>
          <w:rFonts w:hint="eastAsia" w:ascii="仿宋_GB2312" w:hAnsi="仿宋_GB2312" w:eastAsia="仿宋_GB2312" w:cs="仿宋_GB2312"/>
          <w:color w:val="auto"/>
          <w:szCs w:val="32"/>
        </w:rPr>
        <w:t>元，年末结余为</w:t>
      </w:r>
      <w:r>
        <w:rPr>
          <w:rFonts w:hint="eastAsia" w:ascii="仿宋_GB2312" w:hAnsi="仿宋_GB2312" w:cs="仿宋_GB2312"/>
          <w:color w:val="auto"/>
          <w:szCs w:val="32"/>
          <w:lang w:val="en-US" w:eastAsia="zh-CN"/>
        </w:rPr>
        <w:t>0</w:t>
      </w:r>
      <w:r>
        <w:rPr>
          <w:rFonts w:hint="eastAsia" w:ascii="仿宋_GB2312" w:hAnsi="仿宋_GB2312" w:eastAsia="仿宋_GB2312" w:cs="仿宋_GB2312"/>
          <w:color w:val="auto"/>
          <w:szCs w:val="32"/>
        </w:rPr>
        <w:t>元</w:t>
      </w:r>
      <w:r>
        <w:rPr>
          <w:rFonts w:hint="eastAsia" w:ascii="仿宋_GB2312" w:hAnsi="仿宋_GB2312" w:eastAsia="仿宋_GB2312" w:cs="仿宋_GB2312"/>
          <w:szCs w:val="32"/>
        </w:rPr>
        <w:t>。</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（二）项目资金管理情况</w:t>
      </w:r>
    </w:p>
    <w:p>
      <w:pPr>
        <w:ind w:firstLine="594"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kern w:val="32"/>
          <w:szCs w:val="32"/>
        </w:rPr>
        <w:t>按照资金管理办法的要求，制定了本单位的资金使用管理制度，实行专户专用、专项专管，收支两条线管理方式。资金支付时严格按照财务管理制度的规定进行审批，资金支付审批程序规范。</w:t>
      </w:r>
    </w:p>
    <w:p>
      <w:pPr>
        <w:topLinePunct/>
        <w:ind w:firstLine="594" w:firstLineChars="200"/>
        <w:rPr>
          <w:rFonts w:hint="eastAsia" w:ascii="仿宋_GB2312" w:hAnsi="仿宋_GB2312" w:eastAsia="仿宋_GB2312" w:cs="仿宋_GB2312"/>
          <w:b/>
          <w:bCs/>
          <w:szCs w:val="32"/>
          <w:lang w:eastAsia="zh-CN"/>
        </w:rPr>
      </w:pPr>
      <w:r>
        <w:rPr>
          <w:rFonts w:hint="eastAsia" w:ascii="仿宋_GB2312" w:hAnsi="仿宋_GB2312" w:eastAsia="仿宋_GB2312" w:cs="仿宋_GB2312"/>
          <w:b/>
          <w:bCs/>
          <w:szCs w:val="32"/>
          <w:lang w:eastAsia="zh-CN"/>
        </w:rPr>
        <w:t>三、项目组织实施情况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（一）</w:t>
      </w:r>
      <w:r>
        <w:rPr>
          <w:rFonts w:hint="eastAsia" w:ascii="仿宋_GB2312" w:hAnsi="仿宋_GB2312" w:eastAsia="仿宋_GB2312" w:cs="仿宋_GB2312"/>
          <w:szCs w:val="32"/>
        </w:rPr>
        <w:t>项目组织情况</w:t>
      </w:r>
    </w:p>
    <w:p>
      <w:pPr>
        <w:bidi w:val="0"/>
        <w:ind w:firstLine="594" w:firstLineChars="200"/>
        <w:rPr>
          <w:rFonts w:hint="eastAsia"/>
          <w:lang w:val="en-US" w:eastAsia="zh-CN"/>
        </w:rPr>
      </w:pPr>
      <w:r>
        <w:rPr>
          <w:rFonts w:hint="eastAsia"/>
        </w:rPr>
        <w:t>1</w:t>
      </w:r>
      <w:r>
        <w:rPr>
          <w:rFonts w:hint="eastAsia"/>
          <w:lang w:eastAsia="zh-CN"/>
        </w:rPr>
        <w:t>、</w:t>
      </w:r>
      <w:r>
        <w:rPr>
          <w:rFonts w:hint="eastAsia"/>
        </w:rPr>
        <w:t>呈贡区超限运输检测站治超经费：一是以呈贡区超限运输检测站（三铝公路K7+350米处）为依托，严格落实治超站24小时“四班三运转”路警联合工作机制，严查严控超限超载货车上路行驶。二是加强多部门联合治理工作，组织开展了</w:t>
      </w:r>
      <w:r>
        <w:rPr>
          <w:rFonts w:hint="eastAsia"/>
          <w:lang w:eastAsia="zh-CN"/>
        </w:rPr>
        <w:t>路面联合治理货车超限超载专项整治行动工作。</w:t>
      </w:r>
      <w:r>
        <w:rPr>
          <w:rFonts w:hint="eastAsia"/>
        </w:rPr>
        <w:t>在辖区公路超限超载严重路段、节点</w:t>
      </w:r>
      <w:r>
        <w:rPr>
          <w:rFonts w:hint="eastAsia"/>
          <w:lang w:val="en-US" w:eastAsia="zh-CN"/>
        </w:rPr>
        <w:t>、区域，联合市公安局交通警察支队第五大队、区运管分局、区城管局、吴家营街道办事处、省管昆玉路政、昆玉交警等部门开展流动联合执法。2023年，开展非法超限超载集中整治共开展447次，共出动执法人员4868人次，执法车辆1139辆次，检查货运车辆23150辆，其中查处违法超限运输车510辆，责令自行卸货510辆，共卸载货物17005.45吨，对超载车辆监督卸载超限部分货物后复磅称重，符合标准后移交交警进行处罚和计分，通过以上整治行动，进一步加强了我区货车非法改装和超限超载治理工作，使货运车辆超限率严格控制在政府要求的范围内，严厉打击了公路货车违法超限超载行为，有效预防了货车道路交通事故，切实保护公路桥梁和广大人民群众生命财产安全。</w:t>
      </w:r>
    </w:p>
    <w:p>
      <w:pPr>
        <w:bidi w:val="0"/>
        <w:ind w:firstLine="594" w:firstLineChars="200"/>
        <w:rPr>
          <w:rFonts w:hint="eastAsia"/>
          <w:lang w:val="en-US" w:eastAsia="zh-CN"/>
        </w:rPr>
      </w:pPr>
      <w:r>
        <w:rPr>
          <w:rFonts w:hint="eastAsia"/>
          <w:lang w:val="en-US" w:eastAsia="zh-CN"/>
        </w:rPr>
        <w:t>2、呈贡区农村公路路政管理联动协管机制：</w:t>
      </w:r>
    </w:p>
    <w:p>
      <w:pPr>
        <w:bidi w:val="0"/>
        <w:ind w:firstLine="594" w:firstLineChars="200"/>
        <w:rPr>
          <w:rFonts w:hint="eastAsia"/>
          <w:lang w:val="en-US" w:eastAsia="zh-CN"/>
        </w:rPr>
      </w:pPr>
      <w:r>
        <w:rPr>
          <w:rFonts w:hint="eastAsia"/>
          <w:lang w:val="en-US" w:eastAsia="zh-CN"/>
        </w:rPr>
        <w:t>一是认真践行“六个精准”要求，持续推进全区农村公路路政管理三级联动协管机制，进一步建立健全了大队领导分头联系街道路政管理所的工作制度，定期或不定期到乌龙、斗南、吴家营三个街道公路路政管理所进行业务工作指导；</w:t>
      </w:r>
    </w:p>
    <w:p>
      <w:pPr>
        <w:bidi w:val="0"/>
        <w:ind w:firstLine="594" w:firstLineChars="200"/>
        <w:rPr>
          <w:rFonts w:hint="eastAsia"/>
          <w:lang w:val="en-US" w:eastAsia="zh-CN"/>
        </w:rPr>
      </w:pPr>
      <w:r>
        <w:rPr>
          <w:rFonts w:hint="eastAsia"/>
          <w:lang w:val="en-US" w:eastAsia="zh-CN"/>
        </w:rPr>
        <w:t>二是结合全年工作任务目标，与三个街道路政管理所签订了呈贡区2021年农村公路路政管理三级联动工作目标责任书，组织开展了呈贡区2023年农村公路路政管理及养护管理人员业务知识专题培训，有效提升了街道路政专管员、社区协管员的整体业务素质，全面提升了我区农村公路路政管理水平；</w:t>
      </w:r>
    </w:p>
    <w:p>
      <w:pPr>
        <w:bidi w:val="0"/>
        <w:ind w:firstLine="594"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进一步加强路政管理，有效保护路产、维护路权，保障公路完好、安全和畅通。大队规定每周上路不少于5天，每月上路不少于20天，对区管公路每月巡查做到全覆盖巡查，并以时段、路段为重点，加强上路查处力度。2023年，共上路巡查256天，巡查里程达8600余公里，出动执法人员1064余人次，执法车辆276余辆次，共计清理摆摊设点12起，养护工人清理排水沟及杂草15起，清理路面泼洒1起，清理路面杂物3起，清理路边垃圾1起，清理乱停乱放73起，清理广告牌26起，清理堆放杂物7起，查处私增平交道口2起，发现爆闪灯损坏3起，反光镜损坏1起，</w:t>
      </w:r>
      <w:bookmarkStart w:id="0" w:name="_GoBack"/>
      <w:bookmarkEnd w:id="0"/>
      <w:r>
        <w:rPr>
          <w:rFonts w:hint="eastAsia" w:ascii="仿宋_GB2312" w:hAnsi="仿宋_GB2312" w:eastAsia="仿宋_GB2312" w:cs="仿宋_GB2312"/>
          <w:kern w:val="2"/>
          <w:sz w:val="32"/>
          <w:szCs w:val="32"/>
          <w:lang w:val="en-US" w:eastAsia="zh-CN" w:bidi="ar-SA"/>
        </w:rPr>
        <w:t>电杆损坏</w:t>
      </w:r>
      <w:r>
        <w:rPr>
          <w:rFonts w:hint="eastAsia" w:ascii="仿宋_GB2312" w:hAnsi="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起，交通标志牌损坏3起，发现路面积水</w:t>
      </w:r>
      <w:r>
        <w:rPr>
          <w:rFonts w:hint="eastAsia" w:ascii="仿宋_GB2312" w:hAnsi="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t>起，发现路面破损1起 ，有效维护了路产路权，保障了公路的安全畅通；</w:t>
      </w:r>
    </w:p>
    <w:p>
      <w:pPr>
        <w:bidi w:val="0"/>
        <w:ind w:firstLine="594"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kern w:val="2"/>
          <w:sz w:val="32"/>
          <w:szCs w:val="32"/>
          <w:lang w:val="en-US" w:eastAsia="zh-CN" w:bidi="ar-SA"/>
        </w:rPr>
        <w:t>为增强公路沿线群众爱路护路意识，通过在管辖路段设置宣传标语，利用微信、电子显示屏、政务网等媒体对公路路政管理有关法律、法规和规章进行长期、全面、深入的宣传，每天在呈贡区超限运输检测站向过往车辆及行人发放宣传资料，积极参加呈贡区举办的各类宣传活动。截止目前，共发放宣传材料15000余份，有效提高了广大人民群众知法守法、爱路护路意识，切实营造出良好的执法氛围，确保宣传出成效。</w:t>
      </w:r>
    </w:p>
    <w:p>
      <w:pPr>
        <w:topLinePunct/>
        <w:ind w:firstLine="594"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（二）项目管理情况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kern w:val="2"/>
          <w:sz w:val="32"/>
          <w:szCs w:val="32"/>
          <w:lang w:val="en-US" w:eastAsia="zh-CN" w:bidi="ar-SA"/>
        </w:rPr>
        <w:t>按照202</w:t>
      </w: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szCs w:val="32"/>
        </w:rPr>
        <w:t>年初制定的工作目标，认真完成各项工作。</w:t>
      </w:r>
    </w:p>
    <w:p>
      <w:pPr>
        <w:topLinePunct/>
        <w:ind w:firstLine="594" w:firstLineChars="200"/>
        <w:rPr>
          <w:rFonts w:hint="eastAsia" w:ascii="仿宋_GB2312" w:hAnsi="仿宋_GB2312" w:eastAsia="仿宋_GB2312" w:cs="仿宋_GB2312"/>
          <w:b/>
          <w:bCs/>
          <w:szCs w:val="32"/>
        </w:rPr>
      </w:pPr>
      <w:r>
        <w:rPr>
          <w:rFonts w:hint="eastAsia" w:ascii="仿宋_GB2312" w:hAnsi="仿宋_GB2312" w:eastAsia="仿宋_GB2312" w:cs="仿宋_GB2312"/>
          <w:b/>
          <w:bCs/>
          <w:szCs w:val="32"/>
          <w:lang w:eastAsia="zh-CN"/>
        </w:rPr>
        <w:t>四</w:t>
      </w:r>
      <w:r>
        <w:rPr>
          <w:rFonts w:hint="eastAsia" w:ascii="仿宋_GB2312" w:hAnsi="仿宋_GB2312" w:eastAsia="仿宋_GB2312" w:cs="仿宋_GB2312"/>
          <w:b/>
          <w:bCs/>
          <w:szCs w:val="32"/>
        </w:rPr>
        <w:t>、项目绩效情况</w:t>
      </w:r>
    </w:p>
    <w:p>
      <w:pPr>
        <w:numPr>
          <w:ilvl w:val="0"/>
          <w:numId w:val="0"/>
        </w:numPr>
        <w:topLinePunct/>
        <w:ind w:firstLine="594"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w:t>
      </w:r>
      <w:r>
        <w:rPr>
          <w:rFonts w:hint="eastAsia" w:ascii="仿宋_GB2312" w:hAnsi="仿宋_GB2312" w:eastAsia="仿宋_GB2312" w:cs="仿宋_GB2312"/>
          <w:szCs w:val="32"/>
        </w:rPr>
        <w:t>项目的经济性</w:t>
      </w:r>
      <w:r>
        <w:rPr>
          <w:rFonts w:hint="eastAsia" w:ascii="仿宋_GB2312" w:hAnsi="仿宋_GB2312" w:eastAsia="仿宋_GB2312" w:cs="仿宋_GB2312"/>
          <w:szCs w:val="32"/>
          <w:lang w:eastAsia="zh-CN"/>
        </w:rPr>
        <w:t>分析</w:t>
      </w:r>
    </w:p>
    <w:p>
      <w:pPr>
        <w:ind w:firstLine="645"/>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区交通运输局严格执行预算控制，在项目实施过程中严格控制项目成本支出，严格执行合同相关条款，严把审核关，厉行节约，有效避免资金浪费的情况出现。</w:t>
      </w:r>
    </w:p>
    <w:p>
      <w:pPr>
        <w:numPr>
          <w:ilvl w:val="0"/>
          <w:numId w:val="0"/>
        </w:num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（二）项目的</w:t>
      </w:r>
      <w:r>
        <w:rPr>
          <w:rFonts w:hint="eastAsia" w:ascii="仿宋_GB2312" w:hAnsi="仿宋_GB2312" w:eastAsia="仿宋_GB2312" w:cs="仿宋_GB2312"/>
          <w:szCs w:val="32"/>
        </w:rPr>
        <w:t>效率性</w:t>
      </w:r>
      <w:r>
        <w:rPr>
          <w:rFonts w:hint="eastAsia" w:ascii="仿宋_GB2312" w:hAnsi="仿宋_GB2312" w:eastAsia="仿宋_GB2312" w:cs="仿宋_GB2312"/>
          <w:szCs w:val="32"/>
          <w:lang w:eastAsia="zh-CN"/>
        </w:rPr>
        <w:t>分析</w:t>
      </w:r>
    </w:p>
    <w:p>
      <w:pPr>
        <w:ind w:firstLine="594" w:firstLineChars="200"/>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呈贡区超限运输检测站治超经费</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严厉打击公路货车违法超限超载行为，有效预防了货车道路交通事故，维护了公路路产路权，保护了人民群众的生命财产安全。</w:t>
      </w:r>
    </w:p>
    <w:p>
      <w:pPr>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呈贡区农村公路路政管理联动协管机制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我区农村公路路政管理联动协管机制的建立，使农村公路路政管理联动协管机制各项工作得到有序推进，保障了县区、街道、社区农村公路管理工作做到全覆盖。</w:t>
      </w:r>
    </w:p>
    <w:p>
      <w:pPr>
        <w:ind w:firstLine="594"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（三）项目的</w:t>
      </w:r>
      <w:r>
        <w:rPr>
          <w:rFonts w:hint="eastAsia" w:ascii="仿宋_GB2312" w:hAnsi="仿宋_GB2312" w:eastAsia="仿宋_GB2312" w:cs="仿宋_GB2312"/>
          <w:szCs w:val="32"/>
        </w:rPr>
        <w:t>有效性</w:t>
      </w:r>
      <w:r>
        <w:rPr>
          <w:rFonts w:hint="eastAsia" w:ascii="仿宋_GB2312" w:hAnsi="仿宋_GB2312" w:eastAsia="仿宋_GB2312" w:cs="仿宋_GB2312"/>
          <w:szCs w:val="32"/>
          <w:lang w:eastAsia="zh-CN"/>
        </w:rPr>
        <w:t>分析</w:t>
      </w:r>
    </w:p>
    <w:p>
      <w:pPr>
        <w:topLinePunct/>
        <w:ind w:firstLine="594"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强化资金使用管理的规范化，确保资金的使用效益，规范项目资金使用审批程序，按照合同签订条款拨付各项工程款，做到专款专用、专账核算，切实保障项目资金的正常使用。</w:t>
      </w:r>
    </w:p>
    <w:p>
      <w:pPr>
        <w:topLinePunct/>
        <w:ind w:firstLine="594" w:firstLineChars="200"/>
        <w:rPr>
          <w:rFonts w:hint="eastAsia" w:ascii="仿宋_GB2312" w:hAnsi="仿宋_GB2312" w:eastAsia="仿宋_GB2312" w:cs="仿宋_GB2312"/>
          <w:b/>
          <w:bCs/>
          <w:szCs w:val="32"/>
        </w:rPr>
      </w:pPr>
      <w:r>
        <w:rPr>
          <w:rFonts w:hint="eastAsia" w:ascii="仿宋_GB2312" w:hAnsi="仿宋_GB2312" w:eastAsia="仿宋_GB2312" w:cs="仿宋_GB2312"/>
          <w:b/>
          <w:bCs/>
          <w:szCs w:val="32"/>
          <w:lang w:eastAsia="zh-CN"/>
        </w:rPr>
        <w:t>五</w:t>
      </w:r>
      <w:r>
        <w:rPr>
          <w:rFonts w:hint="eastAsia" w:ascii="仿宋_GB2312" w:hAnsi="仿宋_GB2312" w:eastAsia="仿宋_GB2312" w:cs="仿宋_GB2312"/>
          <w:b/>
          <w:bCs/>
          <w:szCs w:val="32"/>
        </w:rPr>
        <w:t>、存在的问题</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（一）专项管理方面</w:t>
      </w:r>
    </w:p>
    <w:p>
      <w:pPr>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kern w:val="32"/>
          <w:szCs w:val="32"/>
        </w:rPr>
        <w:t>按照资金管理办法的要求，制定了本单位的资金使用管理制度，实行专户专用、专项专管，收支两条线管理方式。资金支付时严格按照财务管理制度的规定进行审批，资金支付审批程序规范。</w:t>
      </w:r>
    </w:p>
    <w:p>
      <w:pPr>
        <w:numPr>
          <w:ilvl w:val="0"/>
          <w:numId w:val="0"/>
        </w:numPr>
        <w:topLinePunct/>
        <w:ind w:left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（二）</w:t>
      </w:r>
      <w:r>
        <w:rPr>
          <w:rFonts w:hint="eastAsia" w:ascii="仿宋_GB2312" w:hAnsi="仿宋_GB2312" w:eastAsia="仿宋_GB2312" w:cs="仿宋_GB2312"/>
          <w:szCs w:val="32"/>
        </w:rPr>
        <w:t>资金分配方面</w:t>
      </w:r>
    </w:p>
    <w:p>
      <w:pPr>
        <w:numPr>
          <w:ilvl w:val="0"/>
          <w:numId w:val="0"/>
        </w:num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资金分配合理，专款专用，无散小差现象，资金使用管理规范。</w:t>
      </w:r>
    </w:p>
    <w:p>
      <w:pPr>
        <w:numPr>
          <w:ilvl w:val="0"/>
          <w:numId w:val="0"/>
        </w:numPr>
        <w:topLinePunct/>
        <w:ind w:left="592" w:leftChars="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（三）</w:t>
      </w:r>
      <w:r>
        <w:rPr>
          <w:rFonts w:hint="eastAsia" w:ascii="仿宋_GB2312" w:hAnsi="仿宋_GB2312" w:eastAsia="仿宋_GB2312" w:cs="仿宋_GB2312"/>
          <w:szCs w:val="32"/>
        </w:rPr>
        <w:t>资金拨付方面</w:t>
      </w:r>
    </w:p>
    <w:p>
      <w:pPr>
        <w:numPr>
          <w:ilvl w:val="0"/>
          <w:numId w:val="0"/>
        </w:num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资金拨付及时，无滞留、闲置等现象。</w:t>
      </w:r>
    </w:p>
    <w:p>
      <w:pPr>
        <w:numPr>
          <w:ilvl w:val="0"/>
          <w:numId w:val="0"/>
        </w:numPr>
        <w:topLinePunct/>
        <w:ind w:left="592" w:leftChars="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（四）</w:t>
      </w:r>
      <w:r>
        <w:rPr>
          <w:rFonts w:hint="eastAsia" w:ascii="仿宋_GB2312" w:hAnsi="仿宋_GB2312" w:eastAsia="仿宋_GB2312" w:cs="仿宋_GB2312"/>
          <w:szCs w:val="32"/>
        </w:rPr>
        <w:t>资金使用方面</w:t>
      </w:r>
    </w:p>
    <w:p>
      <w:pPr>
        <w:numPr>
          <w:ilvl w:val="0"/>
          <w:numId w:val="0"/>
        </w:num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资金使用合规，无截留、挪用等现象。</w:t>
      </w:r>
    </w:p>
    <w:p>
      <w:pPr>
        <w:topLinePunct/>
        <w:ind w:firstLine="594" w:firstLineChars="200"/>
        <w:rPr>
          <w:rFonts w:hint="eastAsia" w:ascii="仿宋_GB2312" w:hAnsi="仿宋_GB2312" w:eastAsia="仿宋_GB2312" w:cs="仿宋_GB2312"/>
          <w:b/>
          <w:bCs/>
          <w:szCs w:val="32"/>
        </w:rPr>
      </w:pPr>
      <w:r>
        <w:rPr>
          <w:rFonts w:hint="eastAsia" w:ascii="仿宋_GB2312" w:hAnsi="仿宋_GB2312" w:eastAsia="仿宋_GB2312" w:cs="仿宋_GB2312"/>
          <w:b/>
          <w:bCs/>
          <w:szCs w:val="32"/>
          <w:lang w:eastAsia="zh-CN"/>
        </w:rPr>
        <w:t>六</w:t>
      </w:r>
      <w:r>
        <w:rPr>
          <w:rFonts w:hint="eastAsia" w:ascii="仿宋_GB2312" w:hAnsi="仿宋_GB2312" w:eastAsia="仿宋_GB2312" w:cs="仿宋_GB2312"/>
          <w:b/>
          <w:bCs/>
          <w:szCs w:val="32"/>
        </w:rPr>
        <w:t>、其他需要说明的问题</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后续工作计划</w:t>
      </w:r>
    </w:p>
    <w:p>
      <w:pPr>
        <w:spacing w:line="600" w:lineRule="exa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治理货车超限超载工作：深入落实好国家、省、市、区关于货车违法超限超载的新规，持续开展货车违法超限超载专项集中整治。认真落实好呈贡区超限运输检测站（三铝公路K7+350米处）24小时“四班三运转”路警联合治理路面货车超限超载治理工作，继续保持路面治理货车超限超载高压态势，始终保持路面治理力度，形成高压态势，严厉查处货车超限超载行为。</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呈贡区农村公路联动协管机制：持续推进农村公路路政管理联动协管机制工作。以提升路域环境整治为目标，以提升路政管理所专管员、社区协管站协管员队伍整体素质和责任落实为抓手，进一步规范“联动协管”机制工作，提升我区农村公路路政管理水平。</w:t>
      </w:r>
    </w:p>
    <w:p>
      <w:pPr>
        <w:topLinePunct/>
        <w:jc w:val="right"/>
        <w:rPr>
          <w:rFonts w:hint="eastAsia" w:ascii="仿宋_GB2312" w:hAnsi="仿宋_GB2312" w:eastAsia="仿宋_GB2312" w:cs="仿宋_GB2312"/>
          <w:szCs w:val="32"/>
          <w:lang w:eastAsia="zh-CN"/>
        </w:rPr>
      </w:pPr>
    </w:p>
    <w:p>
      <w:pPr>
        <w:topLinePunct/>
        <w:jc w:val="right"/>
        <w:rPr>
          <w:rFonts w:hint="eastAsia" w:ascii="仿宋_GB2312" w:hAnsi="仿宋_GB2312" w:eastAsia="仿宋_GB2312" w:cs="仿宋_GB2312"/>
          <w:szCs w:val="32"/>
          <w:lang w:eastAsia="zh-CN"/>
        </w:rPr>
      </w:pPr>
    </w:p>
    <w:p>
      <w:pPr>
        <w:topLinePunct/>
        <w:jc w:val="right"/>
        <w:rPr>
          <w:rFonts w:hint="eastAsia" w:ascii="仿宋_GB2312" w:hAnsi="仿宋_GB2312" w:eastAsia="仿宋_GB2312" w:cs="仿宋_GB2312"/>
          <w:szCs w:val="32"/>
          <w:lang w:eastAsia="zh-CN"/>
        </w:rPr>
      </w:pPr>
    </w:p>
    <w:p>
      <w:pPr>
        <w:topLinePunct/>
        <w:jc w:val="right"/>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呈贡区公路路政管理大队</w:t>
      </w:r>
    </w:p>
    <w:p>
      <w:pPr>
        <w:topLinePunct/>
        <w:ind w:firstLine="594" w:firstLineChars="200"/>
        <w:jc w:val="righ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lang w:val="en-US" w:eastAsia="zh-CN"/>
        </w:rPr>
        <w:t>年</w:t>
      </w:r>
      <w:r>
        <w:rPr>
          <w:rFonts w:hint="eastAsia" w:ascii="仿宋_GB2312" w:hAnsi="仿宋_GB2312" w:cs="仿宋_GB2312"/>
          <w:szCs w:val="32"/>
          <w:lang w:val="en-US" w:eastAsia="zh-CN"/>
        </w:rPr>
        <w:t>2</w:t>
      </w:r>
      <w:r>
        <w:rPr>
          <w:rFonts w:hint="eastAsia" w:ascii="仿宋_GB2312" w:hAnsi="仿宋_GB2312" w:eastAsia="仿宋_GB2312" w:cs="仿宋_GB2312"/>
          <w:szCs w:val="32"/>
          <w:lang w:val="en-US" w:eastAsia="zh-CN"/>
        </w:rPr>
        <w:t>月</w:t>
      </w:r>
      <w:r>
        <w:rPr>
          <w:rFonts w:hint="eastAsia" w:ascii="仿宋_GB2312" w:hAnsi="仿宋_GB2312" w:cs="仿宋_GB2312"/>
          <w:szCs w:val="32"/>
          <w:lang w:val="en-US" w:eastAsia="zh-CN"/>
        </w:rPr>
        <w:t>5</w:t>
      </w:r>
      <w:r>
        <w:rPr>
          <w:rFonts w:hint="eastAsia" w:ascii="仿宋_GB2312" w:hAnsi="仿宋_GB2312" w:eastAsia="仿宋_GB2312" w:cs="仿宋_GB2312"/>
          <w:szCs w:val="32"/>
          <w:lang w:val="en-US" w:eastAsia="zh-CN"/>
        </w:rPr>
        <w:t>日</w:t>
      </w:r>
    </w:p>
    <w:p>
      <w:pPr>
        <w:jc w:val="right"/>
        <w:rPr>
          <w:rFonts w:hint="default" w:eastAsia="仿宋_GB2312"/>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5B100B6"/>
    <w:rsid w:val="06475D54"/>
    <w:rsid w:val="2CF17DEB"/>
    <w:rsid w:val="378A5996"/>
    <w:rsid w:val="42092A6C"/>
    <w:rsid w:val="4D0E4D4E"/>
    <w:rsid w:val="547A1A8C"/>
    <w:rsid w:val="5A3C6978"/>
    <w:rsid w:val="5F373F7F"/>
    <w:rsid w:val="606F578E"/>
    <w:rsid w:val="6206515D"/>
    <w:rsid w:val="623F67E7"/>
    <w:rsid w:val="647E3AF2"/>
    <w:rsid w:val="66DB3A45"/>
    <w:rsid w:val="67600811"/>
    <w:rsid w:val="77EA5E7D"/>
    <w:rsid w:val="7E03454A"/>
    <w:rsid w:val="7ED7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pPr>
  </w:style>
  <w:style w:type="paragraph" w:styleId="3">
    <w:name w:val="Normal (Web)"/>
    <w:basedOn w:val="1"/>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NTKO</cp:lastModifiedBy>
  <cp:lastPrinted>2022-03-18T03:40:00Z</cp:lastPrinted>
  <dcterms:modified xsi:type="dcterms:W3CDTF">2024-02-23T07:33:30Z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