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Cs w:val="32"/>
        </w:rPr>
      </w:pPr>
      <w:r>
        <w:rPr>
          <w:rFonts w:hint="eastAsia" w:ascii="黑体" w:eastAsia="黑体"/>
          <w:szCs w:val="32"/>
        </w:rPr>
        <w:t>附件</w:t>
      </w:r>
      <w:r>
        <w:rPr>
          <w:rFonts w:hint="eastAsia" w:ascii="黑体" w:eastAsia="黑体"/>
          <w:szCs w:val="32"/>
          <w:lang w:val="en-US" w:eastAsia="zh-CN"/>
        </w:rPr>
        <w:t>4-2</w:t>
      </w:r>
      <w:r>
        <w:rPr>
          <w:rFonts w:ascii="黑体" w:eastAsia="黑体"/>
          <w:szCs w:val="32"/>
        </w:rPr>
        <w:t>:</w:t>
      </w:r>
    </w:p>
    <w:p>
      <w:pPr>
        <w:rPr>
          <w:rFonts w:ascii="黑体" w:eastAsia="黑体"/>
          <w:szCs w:val="32"/>
        </w:rPr>
      </w:pPr>
    </w:p>
    <w:p>
      <w:pPr>
        <w:spacing w:line="600" w:lineRule="exact"/>
        <w:jc w:val="center"/>
        <w:rPr>
          <w:rFonts w:ascii="方正小标宋_GBK" w:eastAsia="方正小标宋_GBK"/>
          <w:sz w:val="36"/>
          <w:szCs w:val="36"/>
        </w:rPr>
      </w:pPr>
      <w:r>
        <w:rPr>
          <w:rFonts w:hint="eastAsia" w:ascii="方正小标宋_GBK" w:eastAsia="方正小标宋_GBK"/>
          <w:sz w:val="36"/>
          <w:szCs w:val="36"/>
          <w:lang w:eastAsia="zh-CN"/>
        </w:rPr>
        <w:t>呈贡区绿化工程</w:t>
      </w:r>
      <w:r>
        <w:rPr>
          <w:rFonts w:hint="eastAsia" w:ascii="方正小标宋_GBK" w:eastAsia="方正小标宋_GBK"/>
          <w:sz w:val="36"/>
          <w:szCs w:val="36"/>
        </w:rPr>
        <w:t>专项</w:t>
      </w:r>
      <w:r>
        <w:rPr>
          <w:rFonts w:hint="eastAsia" w:ascii="方正小标宋_GBK" w:eastAsia="方正小标宋_GBK"/>
          <w:sz w:val="36"/>
          <w:szCs w:val="36"/>
          <w:lang w:eastAsia="zh-CN"/>
        </w:rPr>
        <w:t>资</w:t>
      </w:r>
      <w:r>
        <w:rPr>
          <w:rFonts w:hint="eastAsia" w:ascii="方正小标宋_GBK" w:eastAsia="方正小标宋_GBK"/>
          <w:sz w:val="36"/>
          <w:szCs w:val="36"/>
        </w:rPr>
        <w:t>金项目支出绩效报告</w:t>
      </w:r>
    </w:p>
    <w:p>
      <w:pPr>
        <w:spacing w:line="600" w:lineRule="exact"/>
        <w:ind w:firstLine="594" w:firstLineChars="200"/>
        <w:rPr>
          <w:rFonts w:ascii="仿宋_GB2312"/>
          <w:b/>
          <w:szCs w:val="32"/>
        </w:rPr>
      </w:pPr>
    </w:p>
    <w:p>
      <w:pPr>
        <w:topLinePunct/>
        <w:ind w:firstLine="594" w:firstLineChars="200"/>
        <w:rPr>
          <w:rFonts w:ascii="黑体" w:eastAsia="黑体"/>
          <w:szCs w:val="32"/>
        </w:rPr>
      </w:pPr>
      <w:r>
        <w:rPr>
          <w:rFonts w:hint="eastAsia" w:ascii="黑体" w:eastAsia="黑体"/>
          <w:szCs w:val="32"/>
        </w:rPr>
        <w:t>一、项目基本情况</w:t>
      </w:r>
    </w:p>
    <w:p>
      <w:pPr>
        <w:keepNext w:val="0"/>
        <w:keepLines w:val="0"/>
        <w:pageBreakBefore w:val="0"/>
        <w:widowControl w:val="0"/>
        <w:kinsoku/>
        <w:wordWrap/>
        <w:overflowPunct/>
        <w:topLinePunct/>
        <w:autoSpaceDE/>
        <w:autoSpaceDN/>
        <w:bidi w:val="0"/>
        <w:adjustRightInd/>
        <w:snapToGrid/>
        <w:ind w:firstLine="594" w:firstLineChars="200"/>
        <w:textAlignment w:val="auto"/>
        <w:rPr>
          <w:rFonts w:hint="eastAsia" w:ascii="仿宋_GB2312"/>
          <w:szCs w:val="32"/>
        </w:rPr>
      </w:pPr>
      <w:r>
        <w:rPr>
          <w:rFonts w:hint="eastAsia" w:ascii="仿宋_GB2312"/>
          <w:szCs w:val="32"/>
          <w:lang w:eastAsia="zh-CN"/>
        </w:rPr>
        <w:t>（一）</w:t>
      </w:r>
      <w:r>
        <w:rPr>
          <w:rFonts w:hint="eastAsia" w:ascii="仿宋_GB2312"/>
          <w:szCs w:val="32"/>
        </w:rPr>
        <w:t>项目基本情况</w:t>
      </w:r>
    </w:p>
    <w:p>
      <w:pPr>
        <w:keepNext w:val="0"/>
        <w:keepLines w:val="0"/>
        <w:pageBreakBefore w:val="0"/>
        <w:widowControl w:val="0"/>
        <w:numPr>
          <w:ilvl w:val="0"/>
          <w:numId w:val="0"/>
        </w:numPr>
        <w:kinsoku/>
        <w:wordWrap/>
        <w:overflowPunct/>
        <w:topLinePunct/>
        <w:autoSpaceDE/>
        <w:autoSpaceDN/>
        <w:bidi w:val="0"/>
        <w:adjustRightInd/>
        <w:snapToGrid/>
        <w:ind w:firstLine="594"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lang w:eastAsia="zh-CN"/>
        </w:rPr>
        <w:t>呈贡区绿化工程共</w:t>
      </w:r>
      <w:r>
        <w:rPr>
          <w:rFonts w:hint="eastAsia" w:ascii="仿宋_GB2312" w:hAnsi="仿宋_GB2312" w:eastAsia="仿宋_GB2312" w:cs="仿宋_GB2312"/>
          <w:szCs w:val="32"/>
          <w:lang w:val="en-US" w:eastAsia="zh-CN"/>
        </w:rPr>
        <w:t>3个项目</w:t>
      </w:r>
      <w:r>
        <w:rPr>
          <w:rFonts w:hint="eastAsia" w:ascii="仿宋_GB2312" w:hAnsi="仿宋_GB2312" w:eastAsia="仿宋_GB2312" w:cs="仿宋_GB2312"/>
          <w:szCs w:val="32"/>
          <w:lang w:eastAsia="zh-CN"/>
        </w:rPr>
        <w:t>包括</w:t>
      </w:r>
      <w:r>
        <w:rPr>
          <w:rFonts w:hint="eastAsia" w:ascii="仿宋_GB2312" w:hAnsi="仿宋_GB2312" w:eastAsia="仿宋_GB2312" w:cs="仿宋_GB2312"/>
          <w:szCs w:val="32"/>
        </w:rPr>
        <w:t>四环十七射及美丽公路及南连接线</w:t>
      </w:r>
      <w:r>
        <w:rPr>
          <w:rFonts w:hint="eastAsia" w:ascii="仿宋_GB2312" w:hAnsi="仿宋_GB2312" w:eastAsia="仿宋_GB2312" w:cs="仿宋_GB2312"/>
          <w:szCs w:val="32"/>
          <w:lang w:eastAsia="zh-CN"/>
        </w:rPr>
        <w:t>管养工程、昆玉高速杜家营收费出口及彩龙街沿线路遇环境整治、呈贡区美丽铁路建设项目。其中</w:t>
      </w:r>
      <w:r>
        <w:rPr>
          <w:rFonts w:hint="eastAsia" w:ascii="仿宋_GB2312" w:hAnsi="仿宋_GB2312" w:eastAsia="仿宋_GB2312" w:cs="仿宋_GB2312"/>
          <w:szCs w:val="32"/>
        </w:rPr>
        <w:t>四环十七射及美丽公路及南连接线</w:t>
      </w:r>
      <w:r>
        <w:rPr>
          <w:rFonts w:hint="eastAsia" w:ascii="仿宋_GB2312" w:hAnsi="仿宋_GB2312" w:eastAsia="仿宋_GB2312" w:cs="仿宋_GB2312"/>
          <w:szCs w:val="32"/>
          <w:lang w:eastAsia="zh-CN"/>
        </w:rPr>
        <w:t>管养工程</w:t>
      </w:r>
      <w:r>
        <w:rPr>
          <w:rFonts w:hint="eastAsia" w:ascii="仿宋_GB2312" w:hAnsi="仿宋_GB2312" w:eastAsia="仿宋_GB2312" w:cs="仿宋_GB2312"/>
          <w:szCs w:val="32"/>
          <w:lang w:val="en-US" w:eastAsia="zh-CN"/>
        </w:rPr>
        <w:t>主要为</w:t>
      </w:r>
      <w:r>
        <w:rPr>
          <w:rFonts w:hint="eastAsia" w:ascii="仿宋_GB2312" w:hAnsi="仿宋_GB2312" w:eastAsia="仿宋_GB2312" w:cs="仿宋_GB2312"/>
          <w:color w:val="auto"/>
          <w:sz w:val="32"/>
          <w:szCs w:val="32"/>
          <w:lang w:val="en-US" w:eastAsia="zh-CN"/>
        </w:rPr>
        <w:t>昆玉高速、南绕城高速呈贡段、南连接线呈贡段沿线</w:t>
      </w:r>
      <w:r>
        <w:rPr>
          <w:rFonts w:hint="eastAsia" w:ascii="仿宋_GB2312" w:hAnsi="仿宋_GB2312" w:eastAsia="仿宋_GB2312" w:cs="仿宋_GB2312"/>
          <w:color w:val="000000"/>
          <w:kern w:val="0"/>
          <w:sz w:val="32"/>
          <w:szCs w:val="32"/>
          <w:lang w:val="en-US" w:eastAsia="zh-CN" w:bidi="ar"/>
        </w:rPr>
        <w:t>绿化涉及的用土及绿化管养工作；</w:t>
      </w:r>
      <w:r>
        <w:rPr>
          <w:rFonts w:hint="eastAsia" w:ascii="仿宋_GB2312" w:hAnsi="仿宋_GB2312" w:eastAsia="仿宋_GB2312" w:cs="仿宋_GB2312"/>
          <w:szCs w:val="32"/>
          <w:lang w:eastAsia="zh-CN"/>
        </w:rPr>
        <w:t>昆玉高速杜家营收费出口及彩龙街沿线路域环境整治主要为进一步规范王家营中铁联集中心站片区货运交通组织，提升道路通行环境；</w:t>
      </w:r>
      <w:r>
        <w:rPr>
          <w:rFonts w:hint="eastAsia" w:ascii="仿宋_GB2312" w:hAnsi="仿宋_GB2312" w:eastAsia="仿宋_GB2312" w:cs="仿宋_GB2312"/>
          <w:b w:val="0"/>
          <w:bCs/>
          <w:sz w:val="32"/>
          <w:szCs w:val="32"/>
          <w:lang w:eastAsia="zh-CN"/>
        </w:rPr>
        <w:t>呈贡区美丽铁路建设</w:t>
      </w:r>
      <w:r>
        <w:rPr>
          <w:rFonts w:hint="eastAsia" w:ascii="仿宋_GB2312" w:hAnsi="仿宋_GB2312" w:eastAsia="仿宋_GB2312" w:cs="仿宋_GB2312"/>
          <w:b w:val="0"/>
          <w:bCs/>
          <w:color w:val="000000" w:themeColor="text1"/>
          <w:kern w:val="0"/>
          <w:sz w:val="32"/>
          <w:szCs w:val="32"/>
          <w:shd w:val="clear" w:color="auto" w:fill="FFFFFF"/>
          <w:lang w:eastAsia="zh-CN"/>
          <w14:textFill>
            <w14:solidFill>
              <w14:schemeClr w14:val="tx1"/>
            </w14:solidFill>
          </w14:textFill>
        </w:rPr>
        <w:t>项目</w:t>
      </w:r>
      <w:r>
        <w:rPr>
          <w:rFonts w:hint="eastAsia" w:ascii="仿宋_GB2312" w:hAnsi="仿宋_GB2312" w:eastAsia="仿宋_GB2312" w:cs="仿宋_GB2312"/>
          <w:sz w:val="32"/>
          <w:szCs w:val="32"/>
          <w:lang w:val="en-US" w:eastAsia="zh-CN"/>
        </w:rPr>
        <w:t>设计服务轨道总长约 9.</w:t>
      </w:r>
      <w:r>
        <w:rPr>
          <w:rFonts w:hint="eastAsia" w:ascii="仿宋_GB2312" w:hAnsi="仿宋_GB2312" w:cs="仿宋_GB2312"/>
          <w:sz w:val="32"/>
          <w:szCs w:val="32"/>
          <w:lang w:val="en-US" w:eastAsia="zh-CN"/>
        </w:rPr>
        <w:t>5</w:t>
      </w:r>
      <w:r>
        <w:rPr>
          <w:rFonts w:hint="eastAsia" w:ascii="仿宋_GB2312" w:hAnsi="仿宋_GB2312" w:eastAsia="仿宋_GB2312" w:cs="仿宋_GB2312"/>
          <w:sz w:val="32"/>
          <w:szCs w:val="32"/>
          <w:lang w:val="en-US" w:eastAsia="zh-CN"/>
        </w:rPr>
        <w:t>公里，涉及 8 个节点，共 23个地块，总占地面积约253亩。</w:t>
      </w:r>
    </w:p>
    <w:p>
      <w:pPr>
        <w:keepNext w:val="0"/>
        <w:keepLines w:val="0"/>
        <w:pageBreakBefore w:val="0"/>
        <w:widowControl w:val="0"/>
        <w:numPr>
          <w:ilvl w:val="0"/>
          <w:numId w:val="1"/>
        </w:numPr>
        <w:kinsoku/>
        <w:wordWrap/>
        <w:overflowPunct/>
        <w:topLinePunct/>
        <w:autoSpaceDE/>
        <w:autoSpaceDN/>
        <w:bidi w:val="0"/>
        <w:adjustRightInd/>
        <w:snapToGrid/>
        <w:ind w:firstLine="594" w:firstLineChars="200"/>
        <w:textAlignment w:val="auto"/>
        <w:rPr>
          <w:rFonts w:hint="eastAsia" w:ascii="仿宋_GB2312"/>
          <w:szCs w:val="32"/>
        </w:rPr>
      </w:pPr>
      <w:r>
        <w:rPr>
          <w:rFonts w:hint="eastAsia" w:ascii="仿宋_GB2312"/>
          <w:szCs w:val="32"/>
        </w:rPr>
        <w:t>绩效目标设定及指标完成情况</w:t>
      </w:r>
    </w:p>
    <w:p>
      <w:pPr>
        <w:keepNext w:val="0"/>
        <w:keepLines w:val="0"/>
        <w:pageBreakBefore w:val="0"/>
        <w:widowControl w:val="0"/>
        <w:numPr>
          <w:ilvl w:val="0"/>
          <w:numId w:val="0"/>
        </w:numPr>
        <w:suppressLineNumbers w:val="0"/>
        <w:kinsoku/>
        <w:wordWrap/>
        <w:overflowPunct/>
        <w:topLinePunct/>
        <w:autoSpaceDE/>
        <w:autoSpaceDN/>
        <w:bidi w:val="0"/>
        <w:adjustRightInd/>
        <w:snapToGrid/>
        <w:spacing w:before="0" w:beforeAutospacing="0" w:after="0" w:afterAutospacing="0"/>
        <w:ind w:right="0" w:rightChars="0" w:firstLine="594" w:firstLineChars="200"/>
        <w:jc w:val="both"/>
        <w:textAlignment w:val="auto"/>
        <w:rPr>
          <w:rFonts w:hint="eastAsia" w:ascii="仿宋_GB2312" w:hAnsi="Calibri" w:cs="仿宋_GB2312"/>
          <w:color w:val="auto"/>
          <w:kern w:val="2"/>
          <w:sz w:val="32"/>
          <w:szCs w:val="32"/>
          <w:lang w:val="en-US" w:eastAsia="zh-CN" w:bidi="ar"/>
        </w:rPr>
      </w:pPr>
      <w:r>
        <w:rPr>
          <w:rFonts w:hint="eastAsia" w:ascii="仿宋_GB2312" w:hAnsi="Calibri" w:eastAsia="仿宋_GB2312" w:cs="仿宋_GB2312"/>
          <w:color w:val="auto"/>
          <w:kern w:val="2"/>
          <w:sz w:val="32"/>
          <w:szCs w:val="32"/>
          <w:lang w:val="en-US" w:eastAsia="zh-CN" w:bidi="ar"/>
        </w:rPr>
        <w:t>绩效目标设定：完成</w:t>
      </w:r>
      <w:r>
        <w:rPr>
          <w:rFonts w:hint="eastAsia" w:ascii="仿宋_GB2312" w:hAnsi="Calibri" w:cs="仿宋_GB2312"/>
          <w:color w:val="auto"/>
          <w:kern w:val="2"/>
          <w:sz w:val="32"/>
          <w:szCs w:val="32"/>
          <w:lang w:val="en-US" w:eastAsia="zh-CN" w:bidi="ar"/>
        </w:rPr>
        <w:t>3个项目</w:t>
      </w:r>
      <w:r>
        <w:rPr>
          <w:rFonts w:hint="eastAsia" w:ascii="仿宋_GB2312"/>
          <w:color w:val="auto"/>
          <w:szCs w:val="32"/>
          <w:lang w:val="en-US" w:eastAsia="zh-CN"/>
        </w:rPr>
        <w:t>预算资金</w:t>
      </w:r>
      <w:r>
        <w:rPr>
          <w:rFonts w:hint="eastAsia" w:ascii="仿宋_GB2312" w:hAnsi="Calibri" w:cs="仿宋_GB2312"/>
          <w:color w:val="auto"/>
          <w:kern w:val="2"/>
          <w:sz w:val="32"/>
          <w:szCs w:val="32"/>
          <w:lang w:val="en-US" w:eastAsia="zh-CN" w:bidi="ar"/>
        </w:rPr>
        <w:t>支付</w:t>
      </w:r>
      <w:r>
        <w:rPr>
          <w:rFonts w:hint="eastAsia" w:ascii="仿宋_GB2312" w:hAnsi="Calibri" w:eastAsia="仿宋_GB2312" w:cs="仿宋_GB2312"/>
          <w:color w:val="auto"/>
          <w:kern w:val="2"/>
          <w:sz w:val="32"/>
          <w:szCs w:val="32"/>
          <w:lang w:val="en-US" w:eastAsia="zh-CN" w:bidi="ar"/>
        </w:rPr>
        <w:t>工作</w:t>
      </w:r>
      <w:r>
        <w:rPr>
          <w:rFonts w:hint="eastAsia" w:ascii="仿宋_GB2312" w:hAnsi="Calibri" w:cs="仿宋_GB2312"/>
          <w:color w:val="auto"/>
          <w:kern w:val="2"/>
          <w:sz w:val="32"/>
          <w:szCs w:val="32"/>
          <w:lang w:val="en-US" w:eastAsia="zh-CN" w:bidi="ar"/>
        </w:rPr>
        <w:t>。</w:t>
      </w:r>
    </w:p>
    <w:p>
      <w:pPr>
        <w:keepNext w:val="0"/>
        <w:keepLines w:val="0"/>
        <w:pageBreakBefore w:val="0"/>
        <w:widowControl w:val="0"/>
        <w:numPr>
          <w:ilvl w:val="0"/>
          <w:numId w:val="0"/>
        </w:numPr>
        <w:suppressLineNumbers w:val="0"/>
        <w:kinsoku/>
        <w:wordWrap/>
        <w:overflowPunct/>
        <w:topLinePunct/>
        <w:autoSpaceDE/>
        <w:autoSpaceDN/>
        <w:bidi w:val="0"/>
        <w:adjustRightInd/>
        <w:snapToGrid/>
        <w:spacing w:before="0" w:beforeAutospacing="0" w:after="0" w:afterAutospacing="0"/>
        <w:ind w:right="0" w:rightChars="0" w:firstLine="594" w:firstLineChars="200"/>
        <w:jc w:val="both"/>
        <w:textAlignment w:val="auto"/>
        <w:rPr>
          <w:rFonts w:hint="eastAsia" w:ascii="仿宋_GB2312"/>
          <w:szCs w:val="32"/>
        </w:rPr>
      </w:pPr>
      <w:r>
        <w:rPr>
          <w:rFonts w:hint="eastAsia" w:ascii="仿宋_GB2312" w:hAnsi="Calibri" w:eastAsia="仿宋_GB2312" w:cs="仿宋_GB2312"/>
          <w:color w:val="auto"/>
          <w:kern w:val="2"/>
          <w:sz w:val="32"/>
          <w:szCs w:val="32"/>
          <w:lang w:val="en-US" w:eastAsia="zh-CN" w:bidi="ar"/>
        </w:rPr>
        <w:t>指标完成情况：</w:t>
      </w:r>
      <w:r>
        <w:rPr>
          <w:rFonts w:hint="eastAsia" w:ascii="仿宋_GB2312" w:hAnsi="Calibri" w:cs="仿宋_GB2312"/>
          <w:color w:val="auto"/>
          <w:kern w:val="2"/>
          <w:sz w:val="32"/>
          <w:szCs w:val="32"/>
          <w:lang w:val="en-US" w:eastAsia="zh-CN" w:bidi="ar"/>
        </w:rPr>
        <w:t>已完成</w:t>
      </w:r>
    </w:p>
    <w:p>
      <w:pPr>
        <w:numPr>
          <w:ilvl w:val="0"/>
          <w:numId w:val="2"/>
        </w:numPr>
        <w:topLinePunct/>
        <w:ind w:firstLine="594" w:firstLineChars="200"/>
        <w:rPr>
          <w:rFonts w:hint="eastAsia" w:ascii="黑体" w:eastAsia="黑体"/>
          <w:szCs w:val="32"/>
          <w:lang w:eastAsia="zh-CN"/>
        </w:rPr>
      </w:pPr>
      <w:r>
        <w:rPr>
          <w:rFonts w:hint="eastAsia" w:ascii="黑体" w:eastAsia="黑体"/>
          <w:szCs w:val="32"/>
          <w:lang w:eastAsia="zh-CN"/>
        </w:rPr>
        <w:t>项目资金使用及管理情况</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594" w:firstLineChars="200"/>
        <w:jc w:val="both"/>
        <w:textAlignment w:val="auto"/>
        <w:outlineLvl w:val="9"/>
        <w:rPr>
          <w:rFonts w:hint="eastAsia" w:ascii="仿宋_GB2312"/>
          <w:szCs w:val="32"/>
          <w:lang w:val="en-US" w:eastAsia="zh-CN"/>
        </w:rPr>
      </w:pPr>
      <w:r>
        <w:rPr>
          <w:rFonts w:hint="eastAsia" w:ascii="仿宋_GB2312" w:hAnsi="仿宋_GB2312" w:cs="仿宋_GB2312"/>
          <w:szCs w:val="32"/>
          <w:lang w:val="en-US" w:eastAsia="zh-CN"/>
        </w:rPr>
        <w:t>2023年</w:t>
      </w:r>
      <w:r>
        <w:rPr>
          <w:rFonts w:hint="eastAsia" w:ascii="仿宋_GB2312"/>
          <w:color w:val="auto"/>
          <w:szCs w:val="32"/>
          <w:lang w:val="en-US" w:eastAsia="zh-CN"/>
        </w:rPr>
        <w:t>呈贡区交运局年度预算支出</w:t>
      </w:r>
      <w:r>
        <w:rPr>
          <w:rFonts w:hint="eastAsia" w:ascii="仿宋_GB2312"/>
          <w:szCs w:val="32"/>
          <w:lang w:eastAsia="zh-CN"/>
        </w:rPr>
        <w:t>呈贡区绿化工程</w:t>
      </w:r>
      <w:r>
        <w:rPr>
          <w:rFonts w:hint="eastAsia" w:ascii="仿宋_GB2312"/>
          <w:color w:val="auto"/>
          <w:szCs w:val="32"/>
          <w:lang w:val="en-US" w:eastAsia="zh-CN"/>
        </w:rPr>
        <w:t>专项资金</w:t>
      </w:r>
      <w:r>
        <w:rPr>
          <w:rFonts w:hint="eastAsia" w:ascii="仿宋_GB2312" w:hAnsi="Calibri" w:cs="仿宋_GB2312"/>
          <w:color w:val="auto"/>
          <w:kern w:val="2"/>
          <w:sz w:val="32"/>
          <w:szCs w:val="32"/>
          <w:lang w:val="en-US" w:eastAsia="zh-CN" w:bidi="ar"/>
        </w:rPr>
        <w:t>共计</w:t>
      </w:r>
      <w:r>
        <w:rPr>
          <w:rFonts w:hint="eastAsia" w:ascii="仿宋_GB2312" w:hAnsi="仿宋_GB2312" w:cs="仿宋_GB2312"/>
          <w:szCs w:val="32"/>
          <w:lang w:val="en-US" w:eastAsia="zh-CN"/>
        </w:rPr>
        <w:t>88.998126</w:t>
      </w:r>
      <w:r>
        <w:rPr>
          <w:rFonts w:hint="eastAsia" w:ascii="仿宋_GB2312" w:hAnsi="Calibri" w:cs="仿宋_GB2312"/>
          <w:color w:val="auto"/>
          <w:kern w:val="2"/>
          <w:sz w:val="32"/>
          <w:szCs w:val="32"/>
          <w:lang w:val="en-US" w:eastAsia="zh-CN" w:bidi="ar"/>
        </w:rPr>
        <w:t>万元，均为区级财政预算。其中：</w:t>
      </w:r>
      <w:r>
        <w:rPr>
          <w:rFonts w:hint="eastAsia" w:ascii="仿宋_GB2312"/>
          <w:szCs w:val="32"/>
        </w:rPr>
        <w:t>四环十七射及美丽公路及南连接线租地及管养专项资金</w:t>
      </w:r>
      <w:r>
        <w:rPr>
          <w:rFonts w:hint="eastAsia" w:ascii="仿宋_GB2312"/>
          <w:szCs w:val="32"/>
          <w:lang w:val="en-US" w:eastAsia="zh-CN"/>
        </w:rPr>
        <w:t>23.568万元；</w:t>
      </w:r>
      <w:r>
        <w:rPr>
          <w:rFonts w:hint="eastAsia" w:ascii="仿宋_GB2312"/>
          <w:szCs w:val="32"/>
          <w:lang w:eastAsia="zh-CN"/>
        </w:rPr>
        <w:t>昆玉高速杜家营收费出口及彩龙街沿线路域环境整治</w:t>
      </w:r>
      <w:r>
        <w:rPr>
          <w:rFonts w:hint="eastAsia" w:ascii="仿宋_GB2312"/>
          <w:szCs w:val="32"/>
          <w:lang w:val="en-US" w:eastAsia="zh-CN"/>
        </w:rPr>
        <w:t>10万元；呈贡区</w:t>
      </w:r>
      <w:r>
        <w:rPr>
          <w:rFonts w:hint="eastAsia" w:ascii="仿宋_GB2312" w:hAnsi="仿宋_GB2312" w:eastAsia="仿宋_GB2312" w:cs="仿宋_GB2312"/>
          <w:b w:val="0"/>
          <w:bCs/>
          <w:sz w:val="32"/>
          <w:szCs w:val="32"/>
          <w:lang w:eastAsia="zh-CN"/>
        </w:rPr>
        <w:t>美丽铁路建设专项资金</w:t>
      </w:r>
      <w:r>
        <w:rPr>
          <w:rFonts w:hint="eastAsia" w:ascii="仿宋_GB2312" w:hAnsi="仿宋_GB2312" w:cs="仿宋_GB2312"/>
          <w:b w:val="0"/>
          <w:bCs/>
          <w:sz w:val="32"/>
          <w:szCs w:val="32"/>
          <w:lang w:val="en-US" w:eastAsia="zh-CN"/>
        </w:rPr>
        <w:t>55.430126万元</w:t>
      </w:r>
      <w:bookmarkStart w:id="0" w:name="_GoBack"/>
      <w:bookmarkEnd w:id="0"/>
      <w:r>
        <w:rPr>
          <w:rFonts w:hint="eastAsia" w:ascii="仿宋_GB2312"/>
          <w:szCs w:val="32"/>
          <w:lang w:val="en-US" w:eastAsia="zh-CN"/>
        </w:rPr>
        <w:t>。</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仿宋_GB2312"/>
          <w:szCs w:val="32"/>
          <w:lang w:val="en-US" w:eastAsia="zh-CN"/>
        </w:rPr>
      </w:pPr>
      <w:r>
        <w:rPr>
          <w:rFonts w:hint="eastAsia" w:ascii="仿宋_GB2312" w:hAnsi="Calibri" w:cs="仿宋_GB2312"/>
          <w:color w:val="auto"/>
          <w:kern w:val="2"/>
          <w:sz w:val="32"/>
          <w:szCs w:val="32"/>
          <w:lang w:val="en-US" w:eastAsia="zh-CN" w:bidi="ar"/>
        </w:rPr>
        <w:t>我局</w:t>
      </w:r>
      <w:r>
        <w:rPr>
          <w:rFonts w:hint="eastAsia" w:ascii="仿宋_GB2312" w:hAnsi="仿宋_GB2312" w:eastAsia="仿宋_GB2312" w:cs="仿宋_GB2312"/>
          <w:i w:val="0"/>
          <w:caps w:val="0"/>
          <w:color w:val="auto"/>
          <w:spacing w:val="0"/>
          <w:sz w:val="32"/>
          <w:szCs w:val="32"/>
          <w:shd w:val="clear" w:fill="FFFFFF"/>
        </w:rPr>
        <w:t>严格按照《</w:t>
      </w:r>
      <w:r>
        <w:rPr>
          <w:rFonts w:hint="eastAsia" w:ascii="仿宋_GB2312" w:hAnsi="仿宋_GB2312" w:cs="仿宋_GB2312"/>
          <w:i w:val="0"/>
          <w:caps w:val="0"/>
          <w:color w:val="auto"/>
          <w:spacing w:val="0"/>
          <w:sz w:val="32"/>
          <w:szCs w:val="32"/>
          <w:shd w:val="clear" w:fill="FFFFFF"/>
          <w:lang w:eastAsia="zh-CN"/>
        </w:rPr>
        <w:t>昆明市呈贡区交通运输局财务</w:t>
      </w:r>
      <w:r>
        <w:rPr>
          <w:rFonts w:hint="eastAsia" w:ascii="仿宋_GB2312" w:hAnsi="仿宋_GB2312" w:eastAsia="仿宋_GB2312" w:cs="仿宋_GB2312"/>
          <w:i w:val="0"/>
          <w:caps w:val="0"/>
          <w:color w:val="auto"/>
          <w:spacing w:val="0"/>
          <w:sz w:val="32"/>
          <w:szCs w:val="32"/>
          <w:shd w:val="clear" w:fill="FFFFFF"/>
        </w:rPr>
        <w:t>管理制度》执行</w:t>
      </w:r>
      <w:r>
        <w:rPr>
          <w:rFonts w:hint="eastAsia" w:ascii="仿宋_GB2312" w:hAnsi="仿宋_GB2312" w:cs="仿宋_GB2312"/>
          <w:i w:val="0"/>
          <w:caps w:val="0"/>
          <w:color w:val="auto"/>
          <w:spacing w:val="0"/>
          <w:sz w:val="32"/>
          <w:szCs w:val="32"/>
          <w:shd w:val="clear" w:fill="FFFFFF"/>
          <w:lang w:eastAsia="zh-CN"/>
        </w:rPr>
        <w:t>该项目经</w:t>
      </w:r>
      <w:r>
        <w:rPr>
          <w:rFonts w:hint="eastAsia" w:ascii="仿宋_GB2312" w:hAnsi="仿宋_GB2312" w:eastAsia="仿宋_GB2312" w:cs="仿宋_GB2312"/>
          <w:i w:val="0"/>
          <w:caps w:val="0"/>
          <w:color w:val="auto"/>
          <w:spacing w:val="0"/>
          <w:sz w:val="32"/>
          <w:szCs w:val="32"/>
          <w:shd w:val="clear" w:fill="FFFFFF"/>
        </w:rPr>
        <w:t>费的管理和使用，项目资金使用合规，不存在截留、挤占、虚列等违规情况</w:t>
      </w:r>
      <w:r>
        <w:rPr>
          <w:rFonts w:hint="eastAsia" w:ascii="仿宋_GB2312" w:hAnsi="仿宋_GB2312" w:cs="仿宋_GB2312"/>
          <w:i w:val="0"/>
          <w:caps w:val="0"/>
          <w:color w:val="auto"/>
          <w:spacing w:val="0"/>
          <w:sz w:val="32"/>
          <w:szCs w:val="32"/>
          <w:shd w:val="clear" w:fill="FFFFFF"/>
          <w:lang w:eastAsia="zh-CN"/>
        </w:rPr>
        <w:t>。</w:t>
      </w:r>
    </w:p>
    <w:p>
      <w:pPr>
        <w:topLinePunct/>
        <w:ind w:firstLine="594" w:firstLineChars="200"/>
        <w:rPr>
          <w:rFonts w:hint="eastAsia" w:ascii="黑体" w:eastAsia="黑体"/>
          <w:szCs w:val="32"/>
          <w:lang w:eastAsia="zh-CN"/>
        </w:rPr>
      </w:pPr>
      <w:r>
        <w:rPr>
          <w:rFonts w:hint="eastAsia" w:ascii="黑体" w:eastAsia="黑体"/>
          <w:szCs w:val="32"/>
          <w:lang w:eastAsia="zh-CN"/>
        </w:rPr>
        <w:t>三、项目组织实施情况</w:t>
      </w:r>
    </w:p>
    <w:p>
      <w:pPr>
        <w:topLinePunct/>
        <w:ind w:firstLine="594" w:firstLineChars="200"/>
        <w:rPr>
          <w:rFonts w:ascii="仿宋_GB2312"/>
          <w:color w:val="auto"/>
          <w:szCs w:val="32"/>
        </w:rPr>
      </w:pPr>
      <w:r>
        <w:rPr>
          <w:rFonts w:hint="eastAsia" w:ascii="仿宋_GB2312" w:hAnsi="仿宋_GB2312" w:eastAsia="仿宋_GB2312" w:cs="仿宋_GB2312"/>
          <w:color w:val="auto"/>
          <w:szCs w:val="32"/>
          <w:lang w:val="en-US" w:eastAsia="zh-CN"/>
        </w:rPr>
        <w:t>202</w:t>
      </w:r>
      <w:r>
        <w:rPr>
          <w:rFonts w:hint="eastAsia" w:ascii="仿宋_GB2312" w:hAnsi="仿宋_GB2312" w:cs="仿宋_GB2312"/>
          <w:color w:val="auto"/>
          <w:szCs w:val="32"/>
          <w:lang w:val="en-US" w:eastAsia="zh-CN"/>
        </w:rPr>
        <w:t>3</w:t>
      </w:r>
      <w:r>
        <w:rPr>
          <w:rFonts w:hint="eastAsia" w:ascii="仿宋_GB2312" w:hAnsi="仿宋_GB2312" w:eastAsia="仿宋_GB2312" w:cs="仿宋_GB2312"/>
          <w:color w:val="auto"/>
          <w:szCs w:val="32"/>
          <w:lang w:val="en-US" w:eastAsia="zh-CN"/>
        </w:rPr>
        <w:t>年，我局实施的呈贡区绿化工程资金</w:t>
      </w:r>
      <w:r>
        <w:rPr>
          <w:rFonts w:hint="eastAsia" w:ascii="仿宋_GB2312" w:hAnsi="仿宋_GB2312" w:cs="仿宋_GB2312"/>
          <w:color w:val="auto"/>
          <w:szCs w:val="32"/>
          <w:lang w:val="en-US" w:eastAsia="zh-CN"/>
        </w:rPr>
        <w:t>预算</w:t>
      </w:r>
      <w:r>
        <w:rPr>
          <w:rFonts w:hint="eastAsia" w:ascii="仿宋_GB2312" w:hAnsi="仿宋_GB2312" w:eastAsia="仿宋_GB2312" w:cs="仿宋_GB2312"/>
          <w:color w:val="auto"/>
          <w:szCs w:val="32"/>
          <w:lang w:val="en-US" w:eastAsia="zh-CN"/>
        </w:rPr>
        <w:t>均</w:t>
      </w:r>
      <w:r>
        <w:rPr>
          <w:rFonts w:hint="eastAsia" w:ascii="仿宋_GB2312" w:hAnsi="仿宋_GB2312" w:eastAsia="仿宋_GB2312" w:cs="仿宋_GB2312"/>
          <w:color w:val="auto"/>
          <w:szCs w:val="32"/>
        </w:rPr>
        <w:t>严格</w:t>
      </w:r>
      <w:r>
        <w:rPr>
          <w:rFonts w:hint="eastAsia" w:ascii="仿宋_GB2312" w:hAnsi="仿宋_GB2312" w:eastAsia="仿宋_GB2312" w:cs="仿宋_GB2312"/>
          <w:color w:val="auto"/>
          <w:szCs w:val="32"/>
          <w:lang w:val="en-US" w:eastAsia="zh-CN"/>
        </w:rPr>
        <w:t>按照建设程序组织实施。一是在</w:t>
      </w:r>
      <w:r>
        <w:rPr>
          <w:rFonts w:hint="eastAsia" w:ascii="仿宋_GB2312" w:hAnsi="仿宋_GB2312" w:eastAsia="仿宋_GB2312" w:cs="仿宋_GB2312"/>
          <w:color w:val="auto"/>
          <w:szCs w:val="32"/>
        </w:rPr>
        <w:t>招投标过程</w:t>
      </w:r>
      <w:r>
        <w:rPr>
          <w:rFonts w:hint="eastAsia" w:ascii="仿宋_GB2312" w:hAnsi="仿宋_GB2312" w:eastAsia="仿宋_GB2312" w:cs="仿宋_GB2312"/>
          <w:color w:val="auto"/>
          <w:szCs w:val="32"/>
          <w:lang w:val="en-US" w:eastAsia="zh-CN"/>
        </w:rPr>
        <w:t>中</w:t>
      </w:r>
      <w:r>
        <w:rPr>
          <w:rFonts w:hint="eastAsia" w:ascii="仿宋_GB2312" w:hAnsi="仿宋_GB2312" w:eastAsia="仿宋_GB2312" w:cs="仿宋_GB2312"/>
          <w:color w:val="auto"/>
          <w:szCs w:val="32"/>
        </w:rPr>
        <w:t>，</w:t>
      </w:r>
      <w:r>
        <w:rPr>
          <w:rFonts w:hint="eastAsia" w:ascii="仿宋_GB2312" w:hAnsi="仿宋_GB2312" w:eastAsia="仿宋_GB2312" w:cs="仿宋_GB2312"/>
          <w:color w:val="auto"/>
          <w:szCs w:val="32"/>
          <w:lang w:val="en-US" w:eastAsia="zh-CN"/>
        </w:rPr>
        <w:t>严格执行相关规定，选择</w:t>
      </w:r>
      <w:r>
        <w:rPr>
          <w:rFonts w:hint="eastAsia" w:ascii="仿宋_GB2312" w:hAnsi="仿宋_GB2312" w:eastAsia="仿宋_GB2312" w:cs="仿宋_GB2312"/>
          <w:color w:val="auto"/>
          <w:szCs w:val="32"/>
        </w:rPr>
        <w:t>有资质、有实力的单位</w:t>
      </w:r>
      <w:r>
        <w:rPr>
          <w:rFonts w:hint="eastAsia" w:ascii="仿宋_GB2312" w:hAnsi="仿宋_GB2312" w:eastAsia="仿宋_GB2312" w:cs="仿宋_GB2312"/>
          <w:color w:val="auto"/>
          <w:szCs w:val="32"/>
          <w:lang w:val="en-US" w:eastAsia="zh-CN"/>
        </w:rPr>
        <w:t>成为项目</w:t>
      </w:r>
      <w:r>
        <w:rPr>
          <w:rFonts w:hint="eastAsia" w:ascii="仿宋_GB2312" w:hAnsi="仿宋_GB2312" w:cs="仿宋_GB2312"/>
          <w:color w:val="auto"/>
          <w:szCs w:val="32"/>
          <w:lang w:val="en-US" w:eastAsia="zh-CN"/>
        </w:rPr>
        <w:t>施工</w:t>
      </w:r>
      <w:r>
        <w:rPr>
          <w:rFonts w:hint="eastAsia" w:ascii="仿宋_GB2312" w:hAnsi="仿宋_GB2312" w:eastAsia="仿宋_GB2312" w:cs="仿宋_GB2312"/>
          <w:color w:val="auto"/>
          <w:szCs w:val="32"/>
          <w:lang w:val="en-US" w:eastAsia="zh-CN"/>
        </w:rPr>
        <w:t>单位。</w:t>
      </w:r>
      <w:r>
        <w:rPr>
          <w:rFonts w:hint="eastAsia" w:ascii="仿宋_GB2312" w:hAnsi="仿宋_GB2312" w:cs="仿宋_GB2312"/>
          <w:color w:val="auto"/>
          <w:szCs w:val="32"/>
          <w:lang w:val="en-US" w:eastAsia="zh-CN"/>
        </w:rPr>
        <w:t>二是</w:t>
      </w:r>
      <w:r>
        <w:rPr>
          <w:rFonts w:hint="eastAsia" w:ascii="仿宋_GB2312" w:hAnsi="仿宋_GB2312" w:eastAsia="仿宋_GB2312" w:cs="仿宋_GB2312"/>
          <w:color w:val="auto"/>
          <w:szCs w:val="32"/>
          <w:lang w:val="en-US" w:eastAsia="zh-CN"/>
        </w:rPr>
        <w:t>在</w:t>
      </w:r>
      <w:r>
        <w:rPr>
          <w:rFonts w:hint="eastAsia" w:ascii="仿宋_GB2312" w:hAnsi="仿宋_GB2312" w:cs="仿宋_GB2312"/>
          <w:color w:val="auto"/>
          <w:szCs w:val="32"/>
          <w:lang w:val="en-US" w:eastAsia="zh-CN"/>
        </w:rPr>
        <w:t>施工资金拨付上，</w:t>
      </w:r>
      <w:r>
        <w:rPr>
          <w:rFonts w:hint="eastAsia" w:ascii="仿宋_GB2312" w:hAnsi="仿宋_GB2312" w:eastAsia="仿宋_GB2312" w:cs="仿宋_GB2312"/>
          <w:color w:val="auto"/>
          <w:szCs w:val="32"/>
        </w:rPr>
        <w:t>我局严格按照合同约定，</w:t>
      </w:r>
      <w:r>
        <w:rPr>
          <w:rFonts w:hint="eastAsia" w:ascii="仿宋_GB2312" w:hAnsi="仿宋_GB2312" w:cs="仿宋_GB2312"/>
          <w:color w:val="auto"/>
          <w:szCs w:val="32"/>
          <w:lang w:val="en-US" w:eastAsia="zh-CN"/>
        </w:rPr>
        <w:t>提交成果或</w:t>
      </w:r>
      <w:r>
        <w:rPr>
          <w:rFonts w:hint="eastAsia" w:ascii="仿宋_GB2312" w:hAnsi="仿宋_GB2312" w:eastAsia="仿宋_GB2312" w:cs="仿宋_GB2312"/>
          <w:color w:val="auto"/>
          <w:szCs w:val="32"/>
        </w:rPr>
        <w:t>验收合格后</w:t>
      </w:r>
      <w:r>
        <w:rPr>
          <w:rFonts w:hint="eastAsia" w:ascii="仿宋_GB2312" w:hAnsi="仿宋_GB2312" w:eastAsia="仿宋_GB2312" w:cs="仿宋_GB2312"/>
          <w:color w:val="auto"/>
          <w:szCs w:val="32"/>
          <w:lang w:val="en-US" w:eastAsia="zh-CN"/>
        </w:rPr>
        <w:t>才能</w:t>
      </w:r>
      <w:r>
        <w:rPr>
          <w:rFonts w:hint="eastAsia" w:ascii="仿宋_GB2312" w:hAnsi="仿宋_GB2312" w:eastAsia="仿宋_GB2312" w:cs="仿宋_GB2312"/>
          <w:color w:val="auto"/>
          <w:szCs w:val="32"/>
        </w:rPr>
        <w:t>支付</w:t>
      </w:r>
      <w:r>
        <w:rPr>
          <w:rFonts w:hint="eastAsia" w:ascii="仿宋_GB2312" w:hAnsi="仿宋_GB2312" w:cs="仿宋_GB2312"/>
          <w:color w:val="auto"/>
          <w:szCs w:val="32"/>
          <w:lang w:val="en-US" w:eastAsia="zh-CN"/>
        </w:rPr>
        <w:t>工程费</w:t>
      </w:r>
      <w:r>
        <w:rPr>
          <w:rFonts w:hint="eastAsia" w:ascii="仿宋_GB2312" w:hAnsi="仿宋_GB2312" w:eastAsia="仿宋_GB2312" w:cs="仿宋_GB2312"/>
          <w:color w:val="auto"/>
          <w:szCs w:val="32"/>
        </w:rPr>
        <w:t>。</w:t>
      </w:r>
      <w:r>
        <w:rPr>
          <w:rFonts w:hint="eastAsia" w:ascii="仿宋_GB2312" w:hAnsi="仿宋_GB2312" w:cs="仿宋_GB2312"/>
          <w:color w:val="auto"/>
          <w:szCs w:val="32"/>
          <w:lang w:val="en-US" w:eastAsia="zh-CN"/>
        </w:rPr>
        <w:t>三</w:t>
      </w:r>
      <w:r>
        <w:rPr>
          <w:rFonts w:hint="eastAsia" w:ascii="仿宋_GB2312" w:hAnsi="仿宋_GB2312" w:eastAsia="仿宋_GB2312" w:cs="仿宋_GB2312"/>
          <w:color w:val="auto"/>
          <w:szCs w:val="32"/>
          <w:lang w:val="en-US" w:eastAsia="zh-CN"/>
        </w:rPr>
        <w:t>是在资金拨付管理上，</w:t>
      </w:r>
      <w:r>
        <w:rPr>
          <w:rFonts w:hint="eastAsia" w:ascii="仿宋_GB2312" w:hAnsi="仿宋_GB2312" w:eastAsia="仿宋_GB2312" w:cs="仿宋_GB2312"/>
          <w:color w:val="auto"/>
          <w:szCs w:val="32"/>
        </w:rPr>
        <w:t>我局严格审批手续，</w:t>
      </w:r>
      <w:r>
        <w:rPr>
          <w:rFonts w:hint="eastAsia" w:ascii="仿宋_GB2312" w:hAnsi="仿宋_GB2312" w:cs="仿宋_GB2312"/>
          <w:color w:val="auto"/>
          <w:szCs w:val="32"/>
          <w:lang w:val="en-US" w:eastAsia="zh-CN"/>
        </w:rPr>
        <w:t>对施工成果核实后方可</w:t>
      </w:r>
      <w:r>
        <w:rPr>
          <w:rFonts w:hint="eastAsia" w:ascii="仿宋_GB2312" w:hAnsi="仿宋_GB2312" w:eastAsia="仿宋_GB2312" w:cs="仿宋_GB2312"/>
          <w:color w:val="auto"/>
          <w:szCs w:val="32"/>
        </w:rPr>
        <w:t>按照合同约定拨付</w:t>
      </w:r>
      <w:r>
        <w:rPr>
          <w:rFonts w:hint="eastAsia" w:ascii="仿宋_GB2312" w:hAnsi="仿宋_GB2312" w:cs="仿宋_GB2312"/>
          <w:color w:val="auto"/>
          <w:szCs w:val="32"/>
          <w:lang w:eastAsia="zh-CN"/>
        </w:rPr>
        <w:t>工程</w:t>
      </w:r>
      <w:r>
        <w:rPr>
          <w:rFonts w:hint="eastAsia" w:ascii="仿宋_GB2312" w:hAnsi="仿宋_GB2312" w:eastAsia="仿宋_GB2312" w:cs="仿宋_GB2312"/>
          <w:color w:val="auto"/>
          <w:szCs w:val="32"/>
        </w:rPr>
        <w:t>款。</w:t>
      </w:r>
    </w:p>
    <w:p>
      <w:pPr>
        <w:topLinePunct/>
        <w:ind w:firstLine="594" w:firstLineChars="200"/>
        <w:rPr>
          <w:rFonts w:ascii="黑体" w:eastAsia="黑体"/>
          <w:szCs w:val="32"/>
        </w:rPr>
      </w:pPr>
      <w:r>
        <w:rPr>
          <w:rFonts w:hint="eastAsia" w:ascii="黑体" w:eastAsia="黑体"/>
          <w:szCs w:val="32"/>
          <w:lang w:eastAsia="zh-CN"/>
        </w:rPr>
        <w:t>四</w:t>
      </w:r>
      <w:r>
        <w:rPr>
          <w:rFonts w:hint="eastAsia" w:ascii="黑体" w:eastAsia="黑体"/>
          <w:szCs w:val="32"/>
        </w:rPr>
        <w:t>、项目绩效情况</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60" w:lineRule="exact"/>
        <w:ind w:right="0" w:firstLine="594" w:firstLineChars="200"/>
        <w:jc w:val="both"/>
        <w:textAlignment w:val="auto"/>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cs="仿宋_GB2312"/>
          <w:b w:val="0"/>
          <w:bCs w:val="0"/>
          <w:color w:val="000000"/>
          <w:kern w:val="2"/>
          <w:sz w:val="32"/>
          <w:szCs w:val="32"/>
          <w:lang w:val="en-US" w:eastAsia="zh-CN" w:bidi="ar-SA"/>
        </w:rPr>
        <w:t>该项目的实施有利于呈贡区</w:t>
      </w:r>
      <w:r>
        <w:rPr>
          <w:rFonts w:hint="eastAsia" w:ascii="仿宋_GB2312" w:hAnsi="仿宋_GB2312" w:cs="仿宋_GB2312"/>
          <w:kern w:val="2"/>
          <w:sz w:val="32"/>
          <w:szCs w:val="32"/>
          <w:lang w:val="en-US" w:eastAsia="zh-CN" w:bidi="ar"/>
        </w:rPr>
        <w:t>绿化景观提升改造，实现绿地规划系统，给行车人很好的视觉感，从而提高城市整体形象，</w:t>
      </w:r>
      <w:r>
        <w:rPr>
          <w:rFonts w:hint="eastAsia" w:ascii="Times New Roman" w:hAnsi="Times New Roman" w:cs="Times New Roman"/>
          <w:b w:val="0"/>
          <w:bCs w:val="0"/>
          <w:color w:val="000000"/>
          <w:kern w:val="2"/>
          <w:sz w:val="32"/>
          <w:szCs w:val="32"/>
          <w:lang w:val="en-US" w:eastAsia="zh-CN" w:bidi="ar-SA"/>
        </w:rPr>
        <w:t>改善城市路网的整体景观质量，进一步提升城市形象和城市管理水平，持续改善人居环境，让广大人民群众共享美丽呈贡。</w:t>
      </w:r>
    </w:p>
    <w:p>
      <w:pPr>
        <w:topLinePunct/>
        <w:ind w:firstLine="594" w:firstLineChars="200"/>
        <w:rPr>
          <w:rFonts w:ascii="黑体" w:eastAsia="黑体"/>
          <w:szCs w:val="32"/>
        </w:rPr>
      </w:pPr>
      <w:r>
        <w:rPr>
          <w:rFonts w:hint="eastAsia" w:ascii="黑体" w:eastAsia="黑体"/>
          <w:szCs w:val="32"/>
          <w:lang w:eastAsia="zh-CN"/>
        </w:rPr>
        <w:t>五</w:t>
      </w:r>
      <w:r>
        <w:rPr>
          <w:rFonts w:hint="eastAsia" w:ascii="黑体" w:eastAsia="黑体"/>
          <w:szCs w:val="32"/>
        </w:rPr>
        <w:t>、存在的问题</w:t>
      </w:r>
    </w:p>
    <w:p>
      <w:pPr>
        <w:topLinePunct/>
        <w:ind w:firstLine="594" w:firstLineChars="200"/>
        <w:rPr>
          <w:rFonts w:hint="eastAsia" w:ascii="仿宋_GB2312"/>
          <w:szCs w:val="32"/>
          <w:lang w:eastAsia="zh-CN"/>
        </w:rPr>
      </w:pPr>
      <w:r>
        <w:rPr>
          <w:rFonts w:hint="eastAsia" w:ascii="仿宋_GB2312"/>
          <w:szCs w:val="32"/>
          <w:lang w:eastAsia="zh-CN"/>
        </w:rPr>
        <w:t>无</w:t>
      </w:r>
    </w:p>
    <w:p>
      <w:pPr>
        <w:topLinePunct/>
        <w:ind w:firstLine="594" w:firstLineChars="200"/>
        <w:rPr>
          <w:rFonts w:ascii="黑体" w:eastAsia="黑体"/>
          <w:szCs w:val="32"/>
        </w:rPr>
      </w:pPr>
      <w:r>
        <w:rPr>
          <w:rFonts w:hint="eastAsia" w:ascii="黑体" w:eastAsia="黑体"/>
          <w:szCs w:val="32"/>
          <w:lang w:eastAsia="zh-CN"/>
        </w:rPr>
        <w:t>六</w:t>
      </w:r>
      <w:r>
        <w:rPr>
          <w:rFonts w:hint="eastAsia" w:ascii="黑体" w:eastAsia="黑体"/>
          <w:szCs w:val="32"/>
        </w:rPr>
        <w:t>、其他需要说明的问题</w:t>
      </w:r>
    </w:p>
    <w:p>
      <w:pPr>
        <w:ind w:firstLine="594" w:firstLineChars="200"/>
        <w:rPr>
          <w:rFonts w:hint="eastAsia" w:eastAsia="仿宋_GB2312"/>
          <w:lang w:eastAsia="zh-CN"/>
        </w:rPr>
      </w:pPr>
      <w:r>
        <w:rPr>
          <w:rFonts w:hint="eastAsia" w:ascii="仿宋_GB2312"/>
          <w:szCs w:val="32"/>
          <w:lang w:eastAsia="zh-CN"/>
        </w:rPr>
        <w:t>无</w:t>
      </w:r>
    </w:p>
    <w:sectPr>
      <w:pgSz w:w="11906" w:h="16838"/>
      <w:pgMar w:top="1723" w:right="1800" w:bottom="1723" w:left="1800"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FA512B"/>
    <w:multiLevelType w:val="singleLevel"/>
    <w:tmpl w:val="BBFA512B"/>
    <w:lvl w:ilvl="0" w:tentative="0">
      <w:start w:val="2"/>
      <w:numFmt w:val="chineseCounting"/>
      <w:suff w:val="nothing"/>
      <w:lvlText w:val="（%1）"/>
      <w:lvlJc w:val="left"/>
      <w:rPr>
        <w:rFonts w:hint="eastAsia"/>
      </w:rPr>
    </w:lvl>
  </w:abstractNum>
  <w:abstractNum w:abstractNumId="1">
    <w:nsid w:val="7ABCC1BB"/>
    <w:multiLevelType w:val="singleLevel"/>
    <w:tmpl w:val="7ABCC1BB"/>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48"/>
  <w:drawingGridVerticalSpacing w:val="30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AE36CA"/>
    <w:rsid w:val="19FF4DBC"/>
    <w:rsid w:val="1EE6DC14"/>
    <w:rsid w:val="378A5996"/>
    <w:rsid w:val="3BEEFD30"/>
    <w:rsid w:val="577EEF34"/>
    <w:rsid w:val="5A3C6978"/>
    <w:rsid w:val="5DBBA22E"/>
    <w:rsid w:val="67600811"/>
    <w:rsid w:val="6BFFD00D"/>
    <w:rsid w:val="6F8DD8E6"/>
    <w:rsid w:val="71DD45B7"/>
    <w:rsid w:val="7FEB35BE"/>
    <w:rsid w:val="7FFF278C"/>
    <w:rsid w:val="9D7FD673"/>
    <w:rsid w:val="BBEB8981"/>
    <w:rsid w:val="DB4FEE50"/>
    <w:rsid w:val="FBFD2EC8"/>
    <w:rsid w:val="FCD5AC7A"/>
    <w:rsid w:val="FED6E5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2014-10-30T20:08:00Z</dcterms:created>
  <dc:creator>jyjcg</dc:creator>
  <cp:lastModifiedBy>kmcg</cp:lastModifiedBy>
  <dcterms:modified xsi:type="dcterms:W3CDTF">2024-02-19T16:00:24Z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ies>
</file>