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2023年上级补助经费（中央资金）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年，为保障完成特定的行政工作任务或事业发展目标，</w:t>
      </w: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上级补助资金（中央资金）</w:t>
      </w:r>
      <w:r>
        <w:rPr>
          <w:rFonts w:hint="eastAsia" w:ascii="仿宋_GB2312"/>
          <w:snapToGrid w:val="0"/>
          <w:kern w:val="0"/>
          <w:szCs w:val="32"/>
        </w:rPr>
        <w:t>财政共安排</w:t>
      </w:r>
      <w:r>
        <w:rPr>
          <w:rFonts w:hint="eastAsia" w:ascii="仿宋_GB2312"/>
          <w:snapToGrid w:val="0"/>
          <w:kern w:val="0"/>
          <w:szCs w:val="32"/>
          <w:lang w:eastAsia="zh-CN"/>
        </w:rPr>
        <w:t>应急保障、防灾减灾等</w:t>
      </w:r>
      <w:r>
        <w:rPr>
          <w:rFonts w:hint="eastAsia" w:ascii="仿宋_GB2312"/>
          <w:snapToGrid w:val="0"/>
          <w:kern w:val="0"/>
          <w:szCs w:val="32"/>
        </w:rPr>
        <w:t>相关项目工作经费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61.73万</w:t>
      </w:r>
      <w:r>
        <w:rPr>
          <w:rFonts w:hint="eastAsia" w:ascii="仿宋_GB2312"/>
          <w:kern w:val="0"/>
          <w:szCs w:val="32"/>
        </w:rPr>
        <w:t>元</w:t>
      </w:r>
      <w:r>
        <w:rPr>
          <w:rFonts w:hint="eastAsia" w:ascii="仿宋_GB2312"/>
          <w:szCs w:val="32"/>
        </w:rPr>
        <w:t>，具体项目开支情况如下：</w:t>
      </w:r>
      <w:bookmarkStart w:id="0" w:name="_GoBack"/>
      <w:bookmarkEnd w:id="0"/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中央财政农业保险保费补贴资金年初预算4.08万元，推进呈贡区防灾减灾体系建设，通过保险机制，为林业生产者提供经济补偿，减轻火灾造成的损失。加强森林火灾防范和应对能力，提高林业生产安全保障水平。发挥保险机制的作用，提高林业应对自然灾害的能力，实际支出4.08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2.2022年中央自然灾害救灾资金（地质灾害）经费年初预算30万元，推进呈贡区防灾减灾体系建设，确保及时、高效、稳妥应对地质灾害，实际支出30万元，执行率100%；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3.2022年中央自然灾害救灾资金（洪涝灾害）经费年初预算20万元，通过完善应急预案、加强应急救援队伍建设等措施，提高了洪涝灾害应对能力。通过疏散转移、抢险救灾、恢复重建等措施，减轻了洪涝灾害造成的损失。加强了对于人民生命财产安全的保护，提高了人民群众的自我保护意识，减少了人员伤亡和财产损失。洪涝灾害项目有稳定的资金来源，能够持续运行，综洪涝灾害项目的综合效益较好，实际支出20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中央自然灾害救灾-森林火灾救灾补助年初预算7.65万元，加强了呈贡区森林防火工作，提高了预防和应对能力，保障了森林资源和生态环境的安全。通过加强森林防火工作，提高了预防和应对能力，减少了火灾的发生和造成的损失。加强了宣传教育，提高了人民群众的森林防火意识，逐步实现全社会共同参与的森林防火格局，实际支出7.65万元，执行率100%；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。中央转移支付资金的分配和使用严格按照相关政策文件的要求进行，确保资金用于支持</w:t>
      </w:r>
      <w:r>
        <w:rPr>
          <w:rFonts w:hint="eastAsia" w:ascii="仿宋_GB2312"/>
          <w:szCs w:val="32"/>
          <w:lang w:eastAsia="zh-CN"/>
        </w:rPr>
        <w:t>区内森林防火，洪涝及地质灾害方面的使用</w:t>
      </w:r>
      <w:r>
        <w:rPr>
          <w:rFonts w:hint="eastAsia" w:ascii="仿宋_GB2312"/>
          <w:szCs w:val="32"/>
        </w:rPr>
        <w:t>。在实施过程中，加强资金监管，确保资金使用的规范性和有效性。同时，积极探索创新资金使用方式，提高资金使用效益。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截止2023年12月31日，我单位专项转移支付资金已支付61.73万元，支付率100%。具体使用情况如下：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1.</w:t>
      </w:r>
      <w:r>
        <w:rPr>
          <w:rFonts w:hint="eastAsia" w:ascii="仿宋_GB2312"/>
          <w:szCs w:val="32"/>
          <w:lang w:val="en-US" w:eastAsia="zh-CN"/>
        </w:rPr>
        <w:t>中央财政农业保险保费补贴资金:</w:t>
      </w:r>
      <w:r>
        <w:rPr>
          <w:rFonts w:hint="eastAsia" w:ascii="仿宋_GB2312"/>
          <w:b w:val="0"/>
          <w:bCs/>
          <w:szCs w:val="32"/>
          <w:lang w:val="en-US" w:eastAsia="zh-CN"/>
        </w:rPr>
        <w:t>支付2023年森林火灾保险（中央财政补贴部分）4.08元，支付率100%。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2.2</w:t>
      </w:r>
      <w:r>
        <w:rPr>
          <w:rFonts w:hint="eastAsia" w:ascii="仿宋_GB2312"/>
          <w:szCs w:val="32"/>
          <w:lang w:val="en-US" w:eastAsia="zh-CN"/>
        </w:rPr>
        <w:t>022年中央自然灾害救灾资金（地质灾害）,根据文件要求全额拨付给</w:t>
      </w:r>
      <w:r>
        <w:rPr>
          <w:rFonts w:hint="eastAsia" w:ascii="仿宋_GB2312"/>
          <w:b w:val="0"/>
          <w:bCs/>
          <w:szCs w:val="32"/>
          <w:lang w:val="en-US" w:eastAsia="zh-CN"/>
        </w:rPr>
        <w:t>全额拨付给国家隧道应急救援中铁二局昆明队，支付率100%。</w:t>
      </w:r>
    </w:p>
    <w:p>
      <w:pPr>
        <w:ind w:firstLine="645"/>
        <w:rPr>
          <w:rFonts w:hint="default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3.</w:t>
      </w:r>
      <w:r>
        <w:rPr>
          <w:rFonts w:hint="eastAsia" w:ascii="仿宋_GB2312"/>
          <w:szCs w:val="32"/>
          <w:lang w:val="en-US" w:eastAsia="zh-CN"/>
        </w:rPr>
        <w:t>2022年中央自然灾害救灾资金（洪涝灾害）：购买</w:t>
      </w:r>
      <w:r>
        <w:rPr>
          <w:rFonts w:hint="eastAsia" w:ascii="仿宋_GB2312"/>
          <w:b w:val="0"/>
          <w:bCs/>
          <w:szCs w:val="32"/>
          <w:lang w:val="en-US" w:eastAsia="zh-CN"/>
        </w:rPr>
        <w:t>防汛救援物资、采购雨衣雨鞋等装备20万元，支付率100%。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4.中央自然灾害救灾-森林火灾救灾补助：购置安全设备手拉式灭火器2000发、高压森林灭火带31带、采购森林防火购置多功能高压水枪2台，40分水器材4台共7.65万元，</w:t>
      </w:r>
      <w:r>
        <w:rPr>
          <w:rFonts w:hint="eastAsia" w:ascii="仿宋_GB2312"/>
          <w:b w:val="0"/>
          <w:bCs/>
          <w:szCs w:val="32"/>
          <w:lang w:val="en-US" w:eastAsia="zh-CN"/>
        </w:rPr>
        <w:t>支付率100%</w:t>
      </w:r>
      <w:r>
        <w:rPr>
          <w:rFonts w:hint="eastAsia" w:ascii="仿宋_GB231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eastAsia="zh-CN"/>
        </w:rPr>
      </w:pP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上级补助资金（中央资金），</w:t>
      </w:r>
      <w:r>
        <w:rPr>
          <w:rFonts w:hint="eastAsia" w:ascii="仿宋_GB2312" w:hAnsi="Arial" w:cs="Arial"/>
          <w:szCs w:val="32"/>
        </w:rPr>
        <w:t>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val="en-US" w:eastAsia="zh-CN"/>
        </w:rPr>
        <w:t>在资金管理方面，中央转移支付资金的分配和使用严格按照相关政策文件的要求进行。具体来说，资金管理主要采取以下措施：根据项目实施需要，制定详细的资金使用计划，确保资金使用的合理性和有效性。对资金的使用进行全程监管和审计，确保资金使用的规范性和合法性。及时公示资金使用情况，接受社会监督，提高资金使用的透明度。对违规使用资金的行为进行严肃处理，追究相关人员的责任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,100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主要是对反映项目资金使用效果的个性指标进行分析</w:t>
      </w:r>
    </w:p>
    <w:p>
      <w:pPr>
        <w:widowControl/>
        <w:ind w:firstLine="594" w:firstLineChars="20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2023年应急局</w:t>
      </w:r>
      <w:r>
        <w:rPr>
          <w:rFonts w:hint="eastAsia" w:ascii="仿宋_GB2312"/>
          <w:szCs w:val="32"/>
        </w:rPr>
        <w:t>负责应急管理工作，指导各街道、各部门应对安全生产类、自然灾害类等突发事件和综合减灾救灾工作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指导应急预案体系建设，建立完善事故灾难和自然灾害分级应对制度，组织编制区级总体应急预案和安全生产类、自然灾害类专项预案，综合协调应急预案衔接工作，组织开展预案演练，推动应急重点工程和应急避难设施建设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牵头建立全区统一的应急管理信息系统，并与国家及省、市应急管理信息系统相衔接</w:t>
      </w:r>
      <w:r>
        <w:rPr>
          <w:rFonts w:hint="eastAsia" w:ascii="仿宋_GB2312"/>
          <w:szCs w:val="32"/>
          <w:lang w:eastAsia="zh-CN"/>
        </w:rPr>
        <w:t>，此资金为顺利完成单位年度工作提供了有力的保障。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（四）</w:t>
      </w: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本</w:t>
      </w:r>
      <w:r>
        <w:rPr>
          <w:rFonts w:hint="eastAsia" w:ascii="仿宋_GB2312"/>
          <w:szCs w:val="32"/>
        </w:rPr>
        <w:t>项目完成后，</w:t>
      </w:r>
      <w:r>
        <w:rPr>
          <w:rFonts w:hint="eastAsia" w:ascii="仿宋_GB2312"/>
          <w:szCs w:val="32"/>
          <w:lang w:eastAsia="zh-CN"/>
        </w:rPr>
        <w:t>呈贡区防灾减灾、森林防火</w:t>
      </w:r>
      <w:r>
        <w:rPr>
          <w:rFonts w:hint="eastAsia" w:ascii="仿宋_GB2312" w:hAnsi="仿宋_GB2312" w:cs="仿宋_GB2312"/>
          <w:szCs w:val="32"/>
          <w:lang w:val="zh-CN"/>
        </w:rPr>
        <w:t>经费项目的支出绩效较好。在今后的工作中，继续加强此类工作，提高预防和应对能力；进一步完善宣传教育的方式方法，提高人民群众的防灾减灾意识；积极探索其他有效的措施，为保护人民群众生命财产及森林资源提供更加全面的保障。同时，加强资金管理，确保资金使用效益。</w:t>
      </w:r>
      <w:r>
        <w:rPr>
          <w:rFonts w:hint="eastAsia" w:ascii="仿宋_GB2312" w:hAnsi="仿宋_GB2312" w:cs="仿宋_GB2312"/>
          <w:szCs w:val="32"/>
        </w:rPr>
        <w:t>受灾群众不满意投诉均降至最低，为呈贡区高质量创建现代化科教创新新城</w:t>
      </w:r>
      <w:r>
        <w:rPr>
          <w:rFonts w:hint="eastAsia"/>
          <w:spacing w:val="-4"/>
          <w:kern w:val="0"/>
          <w:szCs w:val="32"/>
        </w:rPr>
        <w:t>提供坚强的应急力量保障。综合考虑以上各方面的因素，</w:t>
      </w:r>
      <w:r>
        <w:rPr>
          <w:rFonts w:hint="eastAsia"/>
          <w:spacing w:val="-4"/>
          <w:kern w:val="0"/>
          <w:szCs w:val="32"/>
          <w:lang w:eastAsia="zh-CN"/>
        </w:rPr>
        <w:t>这几笔</w:t>
      </w:r>
      <w:r>
        <w:rPr>
          <w:rFonts w:hint="eastAsia"/>
          <w:spacing w:val="-4"/>
          <w:kern w:val="0"/>
          <w:szCs w:val="32"/>
        </w:rPr>
        <w:t>经费项目的综合效益较好。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359A"/>
    <w:rsid w:val="043D32F9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C8F3725"/>
    <w:rsid w:val="0D054CBA"/>
    <w:rsid w:val="0F0A4850"/>
    <w:rsid w:val="0F294E3D"/>
    <w:rsid w:val="0F3928D9"/>
    <w:rsid w:val="0F6F0E51"/>
    <w:rsid w:val="100424FF"/>
    <w:rsid w:val="10045719"/>
    <w:rsid w:val="105076B2"/>
    <w:rsid w:val="112834D3"/>
    <w:rsid w:val="116541F5"/>
    <w:rsid w:val="12245699"/>
    <w:rsid w:val="136703E1"/>
    <w:rsid w:val="13AD5355"/>
    <w:rsid w:val="13CF59AF"/>
    <w:rsid w:val="141068CD"/>
    <w:rsid w:val="14454180"/>
    <w:rsid w:val="14700887"/>
    <w:rsid w:val="15155CCE"/>
    <w:rsid w:val="151F3DE1"/>
    <w:rsid w:val="152272D4"/>
    <w:rsid w:val="16270FA9"/>
    <w:rsid w:val="16EE5686"/>
    <w:rsid w:val="17404E40"/>
    <w:rsid w:val="174C1744"/>
    <w:rsid w:val="183C456A"/>
    <w:rsid w:val="18A47182"/>
    <w:rsid w:val="194E6A3B"/>
    <w:rsid w:val="199344D0"/>
    <w:rsid w:val="19A03B0D"/>
    <w:rsid w:val="19BA6B8D"/>
    <w:rsid w:val="1A0922A6"/>
    <w:rsid w:val="1A8842B6"/>
    <w:rsid w:val="1B7A1682"/>
    <w:rsid w:val="1DF11333"/>
    <w:rsid w:val="1E695E9F"/>
    <w:rsid w:val="1EAA7BCD"/>
    <w:rsid w:val="1F7F003B"/>
    <w:rsid w:val="20E5527A"/>
    <w:rsid w:val="219E4FB2"/>
    <w:rsid w:val="21B349A3"/>
    <w:rsid w:val="225F7929"/>
    <w:rsid w:val="228F7541"/>
    <w:rsid w:val="23DB562D"/>
    <w:rsid w:val="24342503"/>
    <w:rsid w:val="250A4F33"/>
    <w:rsid w:val="25361549"/>
    <w:rsid w:val="25667D5B"/>
    <w:rsid w:val="25800AE2"/>
    <w:rsid w:val="26996876"/>
    <w:rsid w:val="27592C95"/>
    <w:rsid w:val="275A1BEB"/>
    <w:rsid w:val="277D0BEE"/>
    <w:rsid w:val="27A23CFF"/>
    <w:rsid w:val="27D20336"/>
    <w:rsid w:val="284968D6"/>
    <w:rsid w:val="28D40B33"/>
    <w:rsid w:val="2BFC6592"/>
    <w:rsid w:val="2C411256"/>
    <w:rsid w:val="2EC054A4"/>
    <w:rsid w:val="2F4A1466"/>
    <w:rsid w:val="30587247"/>
    <w:rsid w:val="3077322F"/>
    <w:rsid w:val="30CC7E62"/>
    <w:rsid w:val="317D5001"/>
    <w:rsid w:val="31AC57F4"/>
    <w:rsid w:val="31C0454C"/>
    <w:rsid w:val="323F3379"/>
    <w:rsid w:val="32FB46C3"/>
    <w:rsid w:val="336A4674"/>
    <w:rsid w:val="33A20BCB"/>
    <w:rsid w:val="340C7707"/>
    <w:rsid w:val="34920171"/>
    <w:rsid w:val="34BF5EF9"/>
    <w:rsid w:val="356317D4"/>
    <w:rsid w:val="35D276C8"/>
    <w:rsid w:val="364F21AE"/>
    <w:rsid w:val="378A5996"/>
    <w:rsid w:val="38B9121F"/>
    <w:rsid w:val="3946563F"/>
    <w:rsid w:val="3A3475DD"/>
    <w:rsid w:val="3A5744A7"/>
    <w:rsid w:val="3A627A66"/>
    <w:rsid w:val="3AD931F5"/>
    <w:rsid w:val="3BD8106A"/>
    <w:rsid w:val="3C483F14"/>
    <w:rsid w:val="3D390787"/>
    <w:rsid w:val="3D7A455E"/>
    <w:rsid w:val="3E02749C"/>
    <w:rsid w:val="3E31360A"/>
    <w:rsid w:val="407E6060"/>
    <w:rsid w:val="40AE5E41"/>
    <w:rsid w:val="429B2DB8"/>
    <w:rsid w:val="43025A81"/>
    <w:rsid w:val="43113E13"/>
    <w:rsid w:val="436322AE"/>
    <w:rsid w:val="44297978"/>
    <w:rsid w:val="46303092"/>
    <w:rsid w:val="46815CD5"/>
    <w:rsid w:val="47E47930"/>
    <w:rsid w:val="49D27F37"/>
    <w:rsid w:val="49EE4A92"/>
    <w:rsid w:val="4AA72F06"/>
    <w:rsid w:val="4AF418E7"/>
    <w:rsid w:val="4B2A67FA"/>
    <w:rsid w:val="4B545ADE"/>
    <w:rsid w:val="4C5F7E3B"/>
    <w:rsid w:val="4D3B72D3"/>
    <w:rsid w:val="4D9E317E"/>
    <w:rsid w:val="4E9A5C28"/>
    <w:rsid w:val="4E9D7B46"/>
    <w:rsid w:val="50931F9B"/>
    <w:rsid w:val="514E5EDA"/>
    <w:rsid w:val="52C21512"/>
    <w:rsid w:val="53343C0A"/>
    <w:rsid w:val="553465CB"/>
    <w:rsid w:val="55716935"/>
    <w:rsid w:val="55BD7EE2"/>
    <w:rsid w:val="56094C7E"/>
    <w:rsid w:val="560A7516"/>
    <w:rsid w:val="56283FBA"/>
    <w:rsid w:val="56425AFB"/>
    <w:rsid w:val="5665021F"/>
    <w:rsid w:val="56D20D87"/>
    <w:rsid w:val="56DC0F65"/>
    <w:rsid w:val="56F20B76"/>
    <w:rsid w:val="5736446A"/>
    <w:rsid w:val="57B35922"/>
    <w:rsid w:val="57ED2A32"/>
    <w:rsid w:val="588C22B1"/>
    <w:rsid w:val="598E5B20"/>
    <w:rsid w:val="59D22645"/>
    <w:rsid w:val="5A3A6C0F"/>
    <w:rsid w:val="5A3C6978"/>
    <w:rsid w:val="5A4320BF"/>
    <w:rsid w:val="5B502472"/>
    <w:rsid w:val="5B666C7E"/>
    <w:rsid w:val="5BAE118C"/>
    <w:rsid w:val="5BD43362"/>
    <w:rsid w:val="5BF002F3"/>
    <w:rsid w:val="5CB15825"/>
    <w:rsid w:val="5CDC6BE1"/>
    <w:rsid w:val="5D0C2B6C"/>
    <w:rsid w:val="5F1B7B10"/>
    <w:rsid w:val="5F226C65"/>
    <w:rsid w:val="605934C2"/>
    <w:rsid w:val="617D093E"/>
    <w:rsid w:val="61881620"/>
    <w:rsid w:val="62924E88"/>
    <w:rsid w:val="62A0064D"/>
    <w:rsid w:val="62C211B4"/>
    <w:rsid w:val="62E509BA"/>
    <w:rsid w:val="64224848"/>
    <w:rsid w:val="64583D8B"/>
    <w:rsid w:val="64832CA9"/>
    <w:rsid w:val="64E11530"/>
    <w:rsid w:val="65864E51"/>
    <w:rsid w:val="658B0CB7"/>
    <w:rsid w:val="666A5AED"/>
    <w:rsid w:val="671F329A"/>
    <w:rsid w:val="67600811"/>
    <w:rsid w:val="676D5854"/>
    <w:rsid w:val="67A14275"/>
    <w:rsid w:val="68B13249"/>
    <w:rsid w:val="696A4A74"/>
    <w:rsid w:val="6B83486D"/>
    <w:rsid w:val="6C7E5171"/>
    <w:rsid w:val="6C9378D3"/>
    <w:rsid w:val="6CC47DD8"/>
    <w:rsid w:val="6CF7003E"/>
    <w:rsid w:val="6D357688"/>
    <w:rsid w:val="6D3F1768"/>
    <w:rsid w:val="6D7204B8"/>
    <w:rsid w:val="6DB342C2"/>
    <w:rsid w:val="6DBD26FF"/>
    <w:rsid w:val="710A5CFA"/>
    <w:rsid w:val="712B14E9"/>
    <w:rsid w:val="71DE60E8"/>
    <w:rsid w:val="71E87AB2"/>
    <w:rsid w:val="725E210C"/>
    <w:rsid w:val="736758E1"/>
    <w:rsid w:val="738C4451"/>
    <w:rsid w:val="73B83409"/>
    <w:rsid w:val="74201A4A"/>
    <w:rsid w:val="749D6DAF"/>
    <w:rsid w:val="759B4048"/>
    <w:rsid w:val="77D332AB"/>
    <w:rsid w:val="79AD13D0"/>
    <w:rsid w:val="7A6B74C5"/>
    <w:rsid w:val="7AF849B8"/>
    <w:rsid w:val="7C0A7633"/>
    <w:rsid w:val="7CC42BD2"/>
    <w:rsid w:val="7C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