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昆明市呈贡区应急管理局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高新区（马金铺片区）社会事务（林业防火类）经费</w:t>
      </w:r>
      <w:r>
        <w:rPr>
          <w:rFonts w:hint="eastAsia" w:ascii="方正小标宋_GBK" w:eastAsia="方正小标宋_GBK"/>
          <w:sz w:val="36"/>
          <w:szCs w:val="36"/>
        </w:rPr>
        <w:t>项目支出绩效报告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topLinePunct/>
        <w:ind w:firstLine="594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2023年</w:t>
      </w:r>
      <w:r>
        <w:rPr>
          <w:rFonts w:hint="eastAsia" w:ascii="仿宋_GB2312"/>
          <w:b w:val="0"/>
          <w:bCs/>
          <w:szCs w:val="32"/>
          <w:lang w:val="en-US" w:eastAsia="zh-CN"/>
        </w:rPr>
        <w:t>高新区（马金铺片区）社会事务（林业防火类）经费共</w:t>
      </w:r>
      <w:r>
        <w:rPr>
          <w:rFonts w:hint="eastAsia" w:ascii="仿宋_GB2312"/>
          <w:szCs w:val="32"/>
        </w:rPr>
        <w:t>253</w:t>
      </w:r>
      <w:r>
        <w:rPr>
          <w:rFonts w:hint="eastAsia" w:ascii="仿宋_GB2312"/>
          <w:szCs w:val="32"/>
          <w:lang w:val="en-US" w:eastAsia="zh-CN"/>
        </w:rPr>
        <w:t>.</w:t>
      </w:r>
      <w:r>
        <w:rPr>
          <w:rFonts w:hint="eastAsia" w:ascii="仿宋_GB2312"/>
          <w:szCs w:val="32"/>
        </w:rPr>
        <w:t>60</w:t>
      </w:r>
      <w:bookmarkStart w:id="0" w:name="_GoBack"/>
      <w:bookmarkEnd w:id="0"/>
      <w:r>
        <w:rPr>
          <w:rFonts w:hint="eastAsia" w:ascii="仿宋_GB2312"/>
          <w:szCs w:val="32"/>
          <w:lang w:val="en-US" w:eastAsia="zh-CN"/>
        </w:rPr>
        <w:t>万</w:t>
      </w:r>
      <w:r>
        <w:rPr>
          <w:rFonts w:hint="eastAsia" w:ascii="仿宋_GB2312"/>
          <w:b w:val="0"/>
          <w:bCs/>
          <w:szCs w:val="32"/>
          <w:lang w:val="en-US" w:eastAsia="zh-CN"/>
        </w:rPr>
        <w:t>元，本</w:t>
      </w:r>
      <w:r>
        <w:rPr>
          <w:rFonts w:hint="eastAsia" w:ascii="仿宋_GB2312"/>
          <w:szCs w:val="32"/>
        </w:rPr>
        <w:t>该项目为</w:t>
      </w:r>
      <w:r>
        <w:rPr>
          <w:rFonts w:hint="eastAsia" w:ascii="仿宋_GB2312"/>
          <w:szCs w:val="32"/>
          <w:lang w:eastAsia="zh-CN"/>
        </w:rPr>
        <w:t>马金铺街道</w:t>
      </w:r>
      <w:r>
        <w:rPr>
          <w:rFonts w:hint="eastAsia" w:ascii="仿宋_GB2312"/>
          <w:szCs w:val="32"/>
        </w:rPr>
        <w:t>森林防火工作提供必要的经费支持，保障森林资源和生态环境的安全。</w:t>
      </w:r>
      <w:r>
        <w:rPr>
          <w:rFonts w:hint="eastAsia" w:ascii="仿宋_GB2312"/>
          <w:szCs w:val="32"/>
          <w:lang w:eastAsia="zh-CN"/>
        </w:rPr>
        <w:t>该资金已于</w:t>
      </w:r>
      <w:r>
        <w:rPr>
          <w:rFonts w:hint="eastAsia" w:ascii="仿宋_GB2312"/>
          <w:szCs w:val="32"/>
          <w:lang w:val="en-US" w:eastAsia="zh-CN"/>
        </w:rPr>
        <w:t>2023年拨付给</w:t>
      </w:r>
      <w:r>
        <w:rPr>
          <w:rFonts w:hint="eastAsia" w:ascii="仿宋_GB2312"/>
          <w:b w:val="0"/>
          <w:bCs/>
          <w:szCs w:val="32"/>
          <w:lang w:val="en-US" w:eastAsia="zh-CN"/>
        </w:rPr>
        <w:t>高新区（马金铺片区）。</w:t>
      </w:r>
    </w:p>
    <w:p>
      <w:pPr>
        <w:numPr>
          <w:ilvl w:val="0"/>
          <w:numId w:val="1"/>
        </w:numPr>
        <w:topLinePunct/>
        <w:ind w:left="-2" w:leftChars="0" w:firstLine="594" w:firstLineChars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加强森林防火工作，提高预防和应对能力，保障森林资源和生态环境的安全。通过加强森林防火工作，提高预防和应对能力，减少火灾的发生和造成的损失。加强宣传教育，提高人民群众的森林防火意识，形成全社会共同参与的森林防火格局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ind w:firstLine="645"/>
        <w:rPr>
          <w:rFonts w:hint="eastAsia" w:ascii="仿宋_GB2312"/>
          <w:b w:val="0"/>
          <w:bCs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</w:rPr>
        <w:t>项目资金</w:t>
      </w:r>
      <w:r>
        <w:rPr>
          <w:rFonts w:hint="eastAsia" w:ascii="仿宋_GB2312" w:hAnsi="仿宋_GB2312" w:cs="仿宋_GB231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Cs w:val="32"/>
        </w:rPr>
        <w:t>公共财政预算资金</w:t>
      </w:r>
      <w:r>
        <w:rPr>
          <w:rFonts w:hint="eastAsia" w:ascii="仿宋_GB2312" w:hAnsi="仿宋_GB2312" w:cs="仿宋_GB2312"/>
          <w:szCs w:val="32"/>
          <w:lang w:eastAsia="zh-CN"/>
        </w:rPr>
        <w:t>，由区级财政部门</w:t>
      </w:r>
      <w:r>
        <w:rPr>
          <w:rFonts w:hint="eastAsia" w:ascii="仿宋_GB2312" w:hAnsi="仿宋_GB2312" w:eastAsia="仿宋_GB2312" w:cs="仿宋_GB2312"/>
          <w:szCs w:val="32"/>
        </w:rPr>
        <w:t>安排落实、总投入</w:t>
      </w:r>
      <w:r>
        <w:rPr>
          <w:rFonts w:hint="eastAsia" w:ascii="仿宋_GB2312"/>
          <w:szCs w:val="32"/>
        </w:rPr>
        <w:t>253</w:t>
      </w:r>
      <w:r>
        <w:rPr>
          <w:rFonts w:hint="eastAsia" w:ascii="仿宋_GB2312"/>
          <w:szCs w:val="32"/>
          <w:lang w:val="en-US" w:eastAsia="zh-CN"/>
        </w:rPr>
        <w:t>.</w:t>
      </w:r>
      <w:r>
        <w:rPr>
          <w:rFonts w:hint="eastAsia" w:ascii="仿宋_GB2312"/>
          <w:szCs w:val="32"/>
        </w:rPr>
        <w:t>60</w:t>
      </w:r>
      <w:r>
        <w:rPr>
          <w:rFonts w:hint="eastAsia" w:ascii="仿宋_GB2312"/>
          <w:szCs w:val="32"/>
          <w:lang w:val="en-US" w:eastAsia="zh-CN"/>
        </w:rPr>
        <w:t>万</w:t>
      </w:r>
      <w:r>
        <w:rPr>
          <w:rFonts w:hint="eastAsia" w:ascii="仿宋_GB2312"/>
          <w:szCs w:val="32"/>
          <w:lang w:eastAsia="zh-CN"/>
        </w:rPr>
        <w:t>元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  <w:r>
        <w:rPr>
          <w:rFonts w:hint="eastAsia" w:ascii="仿宋_GB2312"/>
          <w:b w:val="0"/>
          <w:bCs/>
          <w:szCs w:val="32"/>
          <w:lang w:val="en-US" w:eastAsia="zh-CN"/>
        </w:rPr>
        <w:t>截止2023年12月31日，我单位高新区（马金铺片区）社会事务（林业防火类）经费已支付</w:t>
      </w:r>
      <w:r>
        <w:rPr>
          <w:rFonts w:hint="eastAsia" w:ascii="仿宋_GB2312"/>
          <w:szCs w:val="32"/>
        </w:rPr>
        <w:t>253</w:t>
      </w:r>
      <w:r>
        <w:rPr>
          <w:rFonts w:hint="eastAsia" w:ascii="仿宋_GB2312"/>
          <w:szCs w:val="32"/>
          <w:lang w:val="en-US" w:eastAsia="zh-CN"/>
        </w:rPr>
        <w:t>.</w:t>
      </w:r>
      <w:r>
        <w:rPr>
          <w:rFonts w:hint="eastAsia" w:ascii="仿宋_GB2312"/>
          <w:szCs w:val="32"/>
        </w:rPr>
        <w:t>60</w:t>
      </w:r>
      <w:r>
        <w:rPr>
          <w:rFonts w:hint="eastAsia" w:ascii="仿宋_GB2312"/>
          <w:szCs w:val="32"/>
          <w:lang w:val="en-US" w:eastAsia="zh-CN"/>
        </w:rPr>
        <w:t>万</w:t>
      </w:r>
      <w:r>
        <w:rPr>
          <w:rFonts w:hint="eastAsia" w:ascii="仿宋_GB2312"/>
          <w:b w:val="0"/>
          <w:bCs/>
          <w:szCs w:val="32"/>
          <w:lang w:val="en-US" w:eastAsia="zh-CN"/>
        </w:rPr>
        <w:t>元，拨付给高新区（马金铺片区），支付率100%。</w:t>
      </w:r>
    </w:p>
    <w:p>
      <w:pPr>
        <w:ind w:firstLine="645"/>
        <w:rPr>
          <w:rFonts w:hint="eastAsia" w:ascii="仿宋_GB2312"/>
          <w:b w:val="0"/>
          <w:bCs/>
          <w:szCs w:val="32"/>
          <w:lang w:val="en-US" w:eastAsia="zh-CN"/>
        </w:rPr>
      </w:pPr>
      <w:r>
        <w:rPr>
          <w:rFonts w:hint="eastAsia" w:ascii="仿宋_GB2312"/>
          <w:b w:val="0"/>
          <w:bCs/>
          <w:szCs w:val="32"/>
          <w:lang w:val="en-US" w:eastAsia="zh-CN"/>
        </w:rPr>
        <w:t>本</w:t>
      </w:r>
      <w:r>
        <w:rPr>
          <w:rFonts w:hint="eastAsia" w:ascii="仿宋_GB2312" w:hAnsi="Arial" w:cs="Arial"/>
          <w:szCs w:val="32"/>
        </w:rPr>
        <w:t>项目经费严格按照单位的财务制度和预算支出的范围使用。项目支出均有单位相关的授权审批，资金拨付严格按照审批程序，使用规范，会计核算结果真实、准确</w:t>
      </w:r>
      <w:r>
        <w:rPr>
          <w:rFonts w:hint="eastAsia" w:ascii="仿宋_GB2312" w:hAnsi="Arial" w:cs="Arial"/>
          <w:szCs w:val="32"/>
          <w:lang w:eastAsia="zh-CN"/>
        </w:rPr>
        <w:t>，不存在专款不专用的情况。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项目组织情况分析：</w:t>
      </w:r>
      <w:r>
        <w:rPr>
          <w:rFonts w:hint="eastAsia" w:ascii="仿宋_GB2312" w:hAnsi="Arial" w:cs="Arial"/>
          <w:color w:val="000000"/>
          <w:szCs w:val="32"/>
        </w:rPr>
        <w:t>该项目属于经常性零星项目，没有达到招投标权限，由本单位自行组织实施。实施过程都是按照单位制定的管理制度来执行。 </w:t>
      </w:r>
    </w:p>
    <w:p>
      <w:pPr>
        <w:topLinePunct/>
        <w:ind w:firstLine="594" w:firstLineChars="200"/>
        <w:rPr>
          <w:rFonts w:hint="eastAsia" w:ascii="仿宋_GB2312" w:hAnsi="Arial" w:cs="Arial"/>
          <w:szCs w:val="32"/>
          <w:lang w:val="en-US" w:eastAsia="zh-CN"/>
        </w:rPr>
      </w:pPr>
      <w:r>
        <w:rPr>
          <w:rFonts w:ascii="仿宋_GB2312"/>
          <w:szCs w:val="32"/>
        </w:rPr>
        <w:t>2.</w:t>
      </w:r>
      <w:r>
        <w:rPr>
          <w:rFonts w:hint="eastAsia" w:ascii="仿宋_GB2312"/>
          <w:szCs w:val="32"/>
        </w:rPr>
        <w:t>项目管理情况分析：</w:t>
      </w:r>
      <w:r>
        <w:rPr>
          <w:rFonts w:hint="eastAsia" w:ascii="仿宋_GB2312" w:hAnsi="Arial" w:cs="Arial"/>
          <w:szCs w:val="32"/>
        </w:rPr>
        <w:t>项目实施过程中，严格按照单位的财务制度和预算支出范围的使用</w:t>
      </w:r>
      <w:r>
        <w:rPr>
          <w:rFonts w:hint="eastAsia" w:ascii="仿宋_GB2312" w:hAnsi="Arial" w:cs="Arial"/>
          <w:szCs w:val="32"/>
          <w:lang w:val="en-US" w:eastAsia="zh-CN"/>
        </w:rPr>
        <w:t>.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（一）</w:t>
      </w:r>
      <w:r>
        <w:rPr>
          <w:rFonts w:hint="eastAsia" w:ascii="仿宋_GB2312"/>
          <w:szCs w:val="32"/>
        </w:rPr>
        <w:t>项目的经济性分析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）项目成本（预算）控制情况：项目的支出符合年初制定的预算目标，预算完成率</w:t>
      </w:r>
      <w:r>
        <w:rPr>
          <w:rFonts w:hint="eastAsia" w:ascii="仿宋_GB2312"/>
          <w:szCs w:val="32"/>
          <w:lang w:val="en-US" w:eastAsia="zh-CN"/>
        </w:rPr>
        <w:t>100</w:t>
      </w:r>
      <w:r>
        <w:rPr>
          <w:rFonts w:hint="eastAsia" w:ascii="仿宋_GB2312"/>
          <w:szCs w:val="32"/>
        </w:rPr>
        <w:t>%。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）项目成本（预算）节约情况：在资金管理方面做到专款专用，严格控制专项资金的支出合法、合规使用。无截留、挤占、滥用情况。</w:t>
      </w:r>
    </w:p>
    <w:p>
      <w:pPr>
        <w:numPr>
          <w:ilvl w:val="0"/>
          <w:numId w:val="2"/>
        </w:numPr>
        <w:topLinePunct/>
        <w:ind w:left="0" w:leftChars="0"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项目的效率性分析</w:t>
      </w:r>
    </w:p>
    <w:p>
      <w:pPr>
        <w:widowControl/>
        <w:overflowPunct w:val="0"/>
        <w:autoSpaceDE w:val="0"/>
        <w:autoSpaceDN w:val="0"/>
        <w:adjustRightInd w:val="0"/>
        <w:ind w:firstLine="594" w:firstLineChars="200"/>
        <w:rPr>
          <w:rFonts w:hint="eastAsia"/>
          <w:szCs w:val="21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）项目的实施进度：</w:t>
      </w:r>
      <w:r>
        <w:rPr>
          <w:rFonts w:hint="eastAsia" w:ascii="仿宋_GB2312" w:hAnsi="Arial" w:cs="Arial"/>
          <w:szCs w:val="32"/>
        </w:rPr>
        <w:t>项目是按照工作的需求逐步进行，到202</w:t>
      </w:r>
      <w:r>
        <w:rPr>
          <w:rFonts w:hint="eastAsia" w:ascii="仿宋_GB2312" w:hAnsi="Arial" w:cs="Arial"/>
          <w:szCs w:val="32"/>
          <w:lang w:val="en-US" w:eastAsia="zh-CN"/>
        </w:rPr>
        <w:t>3</w:t>
      </w:r>
      <w:r>
        <w:rPr>
          <w:rFonts w:hint="eastAsia" w:ascii="仿宋_GB2312" w:hAnsi="Arial" w:cs="Arial"/>
          <w:szCs w:val="32"/>
        </w:rPr>
        <w:t>年底已完成了全部工作目标，</w:t>
      </w:r>
      <w:r>
        <w:rPr>
          <w:rFonts w:hint="eastAsia" w:ascii="仿宋_GB2312" w:hAnsi="宋体" w:cs="宋体"/>
          <w:szCs w:val="32"/>
        </w:rPr>
        <w:t>项目支出预算执行进度为</w:t>
      </w:r>
      <w:r>
        <w:rPr>
          <w:rFonts w:hint="eastAsia" w:ascii="仿宋_GB2312" w:hAnsi="宋体" w:cs="宋体"/>
          <w:szCs w:val="32"/>
          <w:lang w:val="en-US" w:eastAsia="zh-CN"/>
        </w:rPr>
        <w:t>100</w:t>
      </w:r>
      <w:r>
        <w:rPr>
          <w:rFonts w:hint="eastAsia" w:ascii="仿宋_GB2312" w:hAnsi="宋体" w:cs="宋体"/>
          <w:szCs w:val="32"/>
        </w:rPr>
        <w:t>%。</w:t>
      </w:r>
    </w:p>
    <w:p>
      <w:pPr>
        <w:widowControl/>
        <w:overflowPunct w:val="0"/>
        <w:autoSpaceDE w:val="0"/>
        <w:autoSpaceDN w:val="0"/>
        <w:adjustRightInd w:val="0"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）项目完成质量森林防火经费项目的实施，加强了森林防火工作，提高了预防和应对能力，保障了森林资源和生态环境的安全。通过加强森林防火工作，提高了预防和应对能力，减少了火灾的发生和造成的损失。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（三）</w:t>
      </w:r>
      <w:r>
        <w:rPr>
          <w:rFonts w:hint="eastAsia" w:ascii="仿宋_GB2312"/>
          <w:szCs w:val="32"/>
        </w:rPr>
        <w:t>项目的有效性分析</w:t>
      </w:r>
    </w:p>
    <w:p>
      <w:pPr>
        <w:widowControl/>
        <w:overflowPunct w:val="0"/>
        <w:autoSpaceDE w:val="0"/>
        <w:autoSpaceDN w:val="0"/>
        <w:adjustRightInd w:val="0"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加强了宣传教育，提高了人民群众的森林防火意识，形成了全社会共同参与的森林防火格局。森林防火经费项目有稳定的资金来源，能够持续运行。</w:t>
      </w:r>
    </w:p>
    <w:p>
      <w:pPr>
        <w:numPr>
          <w:ilvl w:val="0"/>
          <w:numId w:val="2"/>
        </w:numPr>
        <w:topLinePunct/>
        <w:ind w:left="0" w:leftChars="0"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项目的可持续性分析</w:t>
      </w:r>
    </w:p>
    <w:p>
      <w:pPr>
        <w:topLinePunct/>
        <w:ind w:firstLine="594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综合考虑以上各方面的因素，森林防火经费项目的综合效益较好。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</w:t>
      </w:r>
      <w:r>
        <w:rPr>
          <w:rFonts w:hint="eastAsia" w:ascii="仿宋_GB2312"/>
          <w:szCs w:val="32"/>
          <w:lang w:eastAsia="zh-CN"/>
        </w:rPr>
        <w:t>没有制定专项资金使用办法，使用局机关资金使用办法。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（二）资金分配方面的问题。资金分配合理，突出重点，</w:t>
      </w:r>
      <w:r>
        <w:rPr>
          <w:rFonts w:hint="eastAsia" w:ascii="仿宋_GB2312"/>
          <w:szCs w:val="32"/>
          <w:lang w:eastAsia="zh-CN"/>
        </w:rPr>
        <w:t>没有</w:t>
      </w:r>
      <w:r>
        <w:rPr>
          <w:rFonts w:hint="eastAsia" w:ascii="仿宋_GB2312"/>
          <w:szCs w:val="32"/>
        </w:rPr>
        <w:t>公平公正；无散小差现象；资金分配和使用方向与资金管理办法相符。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（三）资金拨付方面的问题。拨付及时，无滞留、闲置等现象。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（一）后续工作计划。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加大</w:t>
      </w:r>
      <w:r>
        <w:rPr>
          <w:rFonts w:hint="eastAsia" w:ascii="仿宋_GB2312" w:hAnsi="宋体" w:cs="宋体"/>
          <w:color w:val="000000"/>
          <w:kern w:val="0"/>
          <w:szCs w:val="32"/>
        </w:rPr>
        <w:t>预算执行力度，</w:t>
      </w: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针对</w:t>
      </w:r>
      <w:r>
        <w:rPr>
          <w:rFonts w:hint="eastAsia" w:ascii="仿宋_GB2312" w:hAnsi="宋体" w:cs="宋体"/>
          <w:color w:val="000000"/>
          <w:kern w:val="0"/>
          <w:szCs w:val="32"/>
        </w:rPr>
        <w:t>有时未能在财政要求的时限内完成支出进度等问题</w:t>
      </w: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，</w:t>
      </w:r>
      <w:r>
        <w:rPr>
          <w:rFonts w:hint="eastAsia" w:ascii="仿宋_GB2312" w:hAnsi="宋体" w:cs="宋体"/>
          <w:color w:val="000000"/>
          <w:kern w:val="0"/>
          <w:szCs w:val="32"/>
        </w:rPr>
        <w:t>我单位在预算执行方面，已完善了预算执行管理办法，建立健全预算绩效管理体系，增强预算执行的严肃性，提高预算执行的准确率和时效性。</w:t>
      </w:r>
    </w:p>
    <w:p>
      <w:pPr>
        <w:numPr>
          <w:ilvl w:val="0"/>
          <w:numId w:val="0"/>
        </w:numPr>
        <w:topLinePunct/>
        <w:ind w:left="592" w:leftChars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（二）</w:t>
      </w:r>
      <w:r>
        <w:rPr>
          <w:rFonts w:hint="eastAsia" w:ascii="仿宋_GB2312"/>
          <w:szCs w:val="32"/>
        </w:rPr>
        <w:t>主要经验做法、改进措施和有关建议等。</w:t>
      </w:r>
    </w:p>
    <w:p>
      <w:pPr>
        <w:topLinePunct/>
        <w:ind w:firstLine="594" w:firstLineChars="200"/>
        <w:jc w:val="left"/>
        <w:rPr>
          <w:rFonts w:hint="eastAsia"/>
          <w:lang w:val="en-US" w:eastAsia="zh-CN"/>
        </w:rPr>
      </w:pPr>
      <w:r>
        <w:rPr>
          <w:rFonts w:hint="eastAsia" w:ascii="仿宋_GB2312"/>
          <w:szCs w:val="32"/>
        </w:rPr>
        <w:t>项目支出运行实践经验还欠缺，我单位相关人员配备还显不足，相关制度建设还有待进一步加强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 w:hAnsi="宋体" w:cs="宋体"/>
          <w:color w:val="000000"/>
          <w:kern w:val="0"/>
          <w:szCs w:val="32"/>
          <w:lang w:val="en-US" w:eastAsia="zh-CN"/>
        </w:rPr>
        <w:t>2024年我部门</w:t>
      </w:r>
      <w:r>
        <w:rPr>
          <w:rFonts w:hint="eastAsia" w:ascii="仿宋_GB2312" w:hAnsi="宋体" w:cs="宋体"/>
          <w:color w:val="000000"/>
          <w:kern w:val="0"/>
          <w:szCs w:val="32"/>
        </w:rPr>
        <w:t>加强预算管理、促进信息公开、建立奖惩机制，遵循先有预算、后有支出的原则，严格执行预算，严禁超预算或者无预算安排支出，严禁虚列支出、转移或者套取预算资金等现象发生</w:t>
      </w: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。</w:t>
      </w:r>
    </w:p>
    <w:p>
      <w:pPr>
        <w:numPr>
          <w:ilvl w:val="0"/>
          <w:numId w:val="0"/>
        </w:numPr>
        <w:topLinePunct/>
        <w:ind w:leftChars="200"/>
        <w:rPr>
          <w:rFonts w:hint="eastAsia" w:ascii="仿宋_GB2312"/>
          <w:szCs w:val="32"/>
        </w:rPr>
      </w:pPr>
    </w:p>
    <w:p/>
    <w:p/>
    <w:p/>
    <w:p>
      <w:pPr>
        <w:jc w:val="left"/>
        <w:rPr>
          <w:rFonts w:hint="eastAsia" w:ascii="仿宋_GB2312"/>
          <w:szCs w:val="32"/>
        </w:rPr>
      </w:pPr>
    </w:p>
    <w:p>
      <w:pPr>
        <w:ind w:firstLine="4455" w:firstLineChars="1500"/>
        <w:jc w:val="left"/>
        <w:rPr>
          <w:rFonts w:hint="eastAsia" w:ascii="仿宋_GB2312"/>
          <w:szCs w:val="32"/>
        </w:rPr>
      </w:pPr>
    </w:p>
    <w:p>
      <w:pPr>
        <w:ind w:firstLine="4455" w:firstLineChars="1500"/>
        <w:jc w:val="left"/>
        <w:rPr>
          <w:rFonts w:hint="eastAsia" w:ascii="仿宋_GB2312"/>
          <w:szCs w:val="32"/>
        </w:rPr>
      </w:pPr>
    </w:p>
    <w:p>
      <w:pPr>
        <w:ind w:firstLine="4752" w:firstLineChars="1600"/>
        <w:jc w:val="left"/>
        <w:rPr>
          <w:rFonts w:ascii="仿宋_GB2312"/>
          <w:sz w:val="28"/>
          <w:szCs w:val="28"/>
        </w:rPr>
      </w:pPr>
      <w:r>
        <w:rPr>
          <w:rFonts w:hint="eastAsia" w:ascii="仿宋_GB2312"/>
          <w:szCs w:val="32"/>
        </w:rPr>
        <w:t>昆明市呈贡区应急管理局</w:t>
      </w:r>
    </w:p>
    <w:p>
      <w:pPr>
        <w:ind w:right="632" w:firstLine="4752" w:firstLineChars="1600"/>
        <w:jc w:val="left"/>
        <w:rPr>
          <w:rFonts w:ascii="仿宋_GB2312" w:hAnsi="宋体"/>
        </w:rPr>
      </w:pPr>
      <w:r>
        <w:rPr>
          <w:rFonts w:hint="eastAsia" w:ascii="仿宋_GB2312" w:hAnsi="宋体"/>
          <w:lang w:val="en-US" w:eastAsia="zh-CN"/>
        </w:rPr>
        <w:t xml:space="preserve">   </w:t>
      </w:r>
      <w:r>
        <w:rPr>
          <w:rFonts w:hint="eastAsia" w:ascii="仿宋_GB2312" w:hAnsi="宋体"/>
        </w:rPr>
        <w:t>202</w:t>
      </w:r>
      <w:r>
        <w:rPr>
          <w:rFonts w:hint="eastAsia" w:ascii="仿宋_GB2312" w:hAnsi="宋体"/>
          <w:lang w:val="en-US" w:eastAsia="zh-CN"/>
        </w:rPr>
        <w:t>4</w:t>
      </w:r>
      <w:r>
        <w:rPr>
          <w:rFonts w:hint="eastAsia" w:ascii="仿宋_GB2312" w:hAnsi="宋体"/>
        </w:rPr>
        <w:t>年</w:t>
      </w:r>
      <w:r>
        <w:rPr>
          <w:rFonts w:hint="eastAsia" w:ascii="仿宋_GB2312" w:hAnsi="宋体"/>
          <w:lang w:val="en-US" w:eastAsia="zh-CN"/>
        </w:rPr>
        <w:t>2</w:t>
      </w:r>
      <w:r>
        <w:rPr>
          <w:rFonts w:hint="eastAsia" w:ascii="仿宋_GB2312" w:hAnsi="宋体"/>
        </w:rPr>
        <w:t>月</w:t>
      </w:r>
      <w:r>
        <w:rPr>
          <w:rFonts w:hint="eastAsia" w:ascii="仿宋_GB2312" w:hAnsi="宋体"/>
          <w:lang w:val="en-US" w:eastAsia="zh-CN"/>
        </w:rPr>
        <w:t>18</w:t>
      </w:r>
      <w:r>
        <w:rPr>
          <w:rFonts w:hint="eastAsia" w:ascii="仿宋_GB2312" w:hAnsi="宋体"/>
        </w:rPr>
        <w:t>日</w:t>
      </w: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4C6EFC"/>
    <w:multiLevelType w:val="singleLevel"/>
    <w:tmpl w:val="874C6EF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8C684AB"/>
    <w:multiLevelType w:val="singleLevel"/>
    <w:tmpl w:val="58C684AB"/>
    <w:lvl w:ilvl="0" w:tentative="0">
      <w:start w:val="2"/>
      <w:numFmt w:val="chineseCounting"/>
      <w:suff w:val="nothing"/>
      <w:lvlText w:val="（%1）"/>
      <w:lvlJc w:val="left"/>
      <w:pPr>
        <w:ind w:left="-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0834694C"/>
    <w:rsid w:val="0E4E2588"/>
    <w:rsid w:val="0EB2379C"/>
    <w:rsid w:val="12CB1C6A"/>
    <w:rsid w:val="132C4B51"/>
    <w:rsid w:val="188B5487"/>
    <w:rsid w:val="1E404ABD"/>
    <w:rsid w:val="1E693DB7"/>
    <w:rsid w:val="208471F2"/>
    <w:rsid w:val="224842DD"/>
    <w:rsid w:val="261657B3"/>
    <w:rsid w:val="262F7A33"/>
    <w:rsid w:val="27C62324"/>
    <w:rsid w:val="2CFC7FDC"/>
    <w:rsid w:val="348D78D1"/>
    <w:rsid w:val="378A5996"/>
    <w:rsid w:val="393626A9"/>
    <w:rsid w:val="430F59D5"/>
    <w:rsid w:val="4361632B"/>
    <w:rsid w:val="442B2B7B"/>
    <w:rsid w:val="44824E6E"/>
    <w:rsid w:val="4DCF17F4"/>
    <w:rsid w:val="4F991A47"/>
    <w:rsid w:val="53F362C9"/>
    <w:rsid w:val="55B15C6D"/>
    <w:rsid w:val="5A3C6978"/>
    <w:rsid w:val="5A8007C7"/>
    <w:rsid w:val="5C7040F2"/>
    <w:rsid w:val="5FC87A72"/>
    <w:rsid w:val="61BB6DB4"/>
    <w:rsid w:val="647F4B24"/>
    <w:rsid w:val="66975091"/>
    <w:rsid w:val="67600811"/>
    <w:rsid w:val="6E991D4E"/>
    <w:rsid w:val="6F8D1B7F"/>
    <w:rsid w:val="70FD2161"/>
    <w:rsid w:val="72BF7FF5"/>
    <w:rsid w:val="78D2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HOP</cp:lastModifiedBy>
  <dcterms:modified xsi:type="dcterms:W3CDTF">2024-02-18T08:00:19Z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