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呈贡区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农村公路养护工程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呈贡区现有在库农村公路167.316公里，其中，国道13公里，县道36.759公里，乡道104.92公里，村道12.637公里。实际管养里程77.27公里，其中，国道13公里，县道20.309公里，乡道40.675公里，村道3.286公里。呈贡区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年农村公路养护项目，主要是对呈贡辖区农村公路（省管下放道路，县、乡、村公路）进行路面小修保养、绿化管养、道路水毁突发应急治理，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共有12个项目，总资金455.270519万元，项目支出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具有较强公益性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绩效目标设定：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完成呈贡区202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年农村公路养护、小修保养等工作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黑体" w:eastAsia="黑体"/>
          <w:szCs w:val="32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呈贡区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农村公路养护工程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共12个项目，年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初预算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总资金455.270519万元（市级财政预算2个项目，共86万元；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区级财政预算10个项目，共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369.270519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），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2023年总支出455.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270519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分别为：农村公路养护专项资金5万元，农村公路安全隐患整治及四好农村路建设专项资金54.49万元，清理拖欠农村公路养护（造价咨询费）专项资金1万元，清理拖欠农村公路养护（监理费）专项资金3.12万元，政府还贷二级公路取消收费后补助专项资金32万元，成品油税费改革转移支付用于农村公路养护补助专项资金54万元，国道213线（驼峰路至学海路段）路灯安装专项资金123.4215万元，农村公路安全隐患整治工程缺口专项资金100万元，国道213雨花段改移后村道修复工程专项资金60万元，松花社区田间道路坑洼路面临时修复工程专项资金3.671319万元，桥梁检测专项资金14万元，清理拖欠呈贡区2022年农村公路安全隐患整治（设计费及监理费）专项资金4.5677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我局通过公开招标的方式选取了呈贡区农村公路（2020年10月--2023年10月）养护工程施工单位。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根据《昆明市农村公路养护管理办法》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呈贡区202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年农村公路养护管理目标责任书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呈贡区农村公路管理养护体制改革实施细则》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及市级相关文件要求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我局积极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年呈贡区农村公路日常养护、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预防性养护、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绿化管养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一方面，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扎实推进农村公路安全隐患整治工程，完成马料河桥隐患整治、缪阳线路基路面隐患整治及农村公路交通标志、标线隐患整治，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消除农村公路安全隐患点50余个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另一方面，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开展农村公路日常养护、预防性养护工作，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修复路面破损5640.52平方米，清理水沟42660米，清除杂草147336平方米，粉刷街道树6502棵，补种木春菊125平方米，安装凸面镜4套等，同时，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指导街道、社区做好乡道、村道的养护工作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持续推进呈贡区农村公路5座桥梁检测工作，完成经常性检查60座·次，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桥梁技术状况评定均在三类以上，无四、五类危桥。</w:t>
      </w:r>
    </w:p>
    <w:p>
      <w:pPr>
        <w:pStyle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在日常工作中，我局采取定期与不定期相结合的检查方式，督促施工方做好日常养护工作；巡查发现问题时，我局及时下发整改通知单，要求施工单位严格按照施工工序进行整改，对完成整改的问题及时进行工程量核量及验收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经济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"/>
        </w:rPr>
        <w:t>性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农村公路养护工程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进一步改善了呈贡区农村公路交通环境，保障了辖区农村公路路面的整洁性及行车舒适性，更好地为区域经济和社会发展贡献了力量。</w:t>
      </w:r>
      <w:r>
        <w:rPr>
          <w:rFonts w:hint="eastAsia" w:ascii="仿宋_GB2312" w:hAnsi="Calibri" w:cs="仿宋_GB2312"/>
          <w:b/>
          <w:bCs/>
          <w:kern w:val="2"/>
          <w:sz w:val="32"/>
          <w:szCs w:val="32"/>
          <w:lang w:val="en-US" w:eastAsia="zh-CN" w:bidi="ar"/>
        </w:rPr>
        <w:t>效率性：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已在时限内完成农村公路日常养护，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呈贡区农村公路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完好、安全与畅通。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可持续性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"/>
        </w:rPr>
        <w:t>性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通过不断调整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农村公路养护工程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人员、资金配备，为202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年养护工作人员、资金配备提供依据参考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6C57260"/>
    <w:rsid w:val="378A5996"/>
    <w:rsid w:val="5A3C6978"/>
    <w:rsid w:val="67600811"/>
    <w:rsid w:val="71F92EC1"/>
    <w:rsid w:val="77FFF875"/>
    <w:rsid w:val="7EE2D9E2"/>
    <w:rsid w:val="7FFF2B1C"/>
    <w:rsid w:val="D6FB9D5F"/>
    <w:rsid w:val="D7CFD1A0"/>
    <w:rsid w:val="DBB8509A"/>
    <w:rsid w:val="DBDFE153"/>
    <w:rsid w:val="DBF3CB96"/>
    <w:rsid w:val="F7AFA63E"/>
    <w:rsid w:val="F8F74C2A"/>
    <w:rsid w:val="FDFE5B56"/>
    <w:rsid w:val="FEFCE29C"/>
    <w:rsid w:val="FF6972AB"/>
    <w:rsid w:val="FFFAE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2024-02-18T16:02:11Z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