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100万以下零星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834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100万以下零星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154.52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万元，除各科室已专项自评外，主要包括以下项目：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1.2023年人才管理专项资金5万元；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2.离退休干部党组织工作经费1.04万元；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3.离退休干部党组织工作补助及先进创建补助专项资金0.36万元；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4.教育管理专项经费59.98万；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5.昆明市“平安校园”创建补助资金和校园安全目标考核专项资金7.41万元；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6.原职中退休教师医疗保险、生活补助等专项资金33.40万元。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100万以下零星经费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绩效目标根据特定的工作目标设定，主要是完成人才管理、离退休党支部工作、平安校园、原职中退休教师医疗保险、生活补助</w:t>
      </w:r>
      <w:bookmarkStart w:id="0" w:name="_GoBack"/>
      <w:bookmarkEnd w:id="0"/>
      <w:r>
        <w:rPr>
          <w:rFonts w:hint="eastAsia" w:ascii="Times New Roman" w:hAnsi="Times New Roman"/>
          <w:sz w:val="32"/>
          <w:szCs w:val="32"/>
          <w:lang w:val="en-US" w:eastAsia="zh-CN"/>
        </w:rPr>
        <w:t>等特定的工作任务，预算批复后已及时支付，目标任务完成。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100万以下零星经费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的资金，由各业务科室根据自身工作任务实施完成并审批支付，项目实际支出与项目计划投入资金的用途相符。不存在截留、挤占、挪用、虚列的情况。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做好预算绩效管理工作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，呈贡区教育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了绩效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组,由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主要领导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组长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分管领导为副组长，办公室（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及相关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人员组成评价工作组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/>
          <w:szCs w:val="32"/>
          <w:lang w:eastAsia="zh-CN"/>
        </w:rPr>
        <w:t>资金下达后</w:t>
      </w:r>
      <w:r>
        <w:rPr>
          <w:rFonts w:hint="eastAsia" w:ascii="仿宋_GB2312"/>
          <w:szCs w:val="32"/>
          <w:lang w:val="en-US" w:eastAsia="zh-CN"/>
        </w:rPr>
        <w:t>严格按照文件要求逐级提交使用申请，资金专款专用。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项目专款专用，按时下拨资金，项目具有效率性、可持续性，按照项目绩效评价指标体系严格打分，此项目评分为</w:t>
      </w:r>
      <w:r>
        <w:rPr>
          <w:rFonts w:hint="eastAsia" w:ascii="仿宋_GB2312" w:hAnsi="宋体" w:cs="Times New Roman"/>
          <w:sz w:val="32"/>
          <w:szCs w:val="32"/>
          <w:lang w:val="en-US" w:eastAsia="zh-CN" w:bidi="ar"/>
        </w:rPr>
        <w:t>100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"/>
        </w:rPr>
        <w:t>分，评价等级为优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</w:rPr>
        <w:t>（一）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2024年将继续各类专项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使用管理，发挥资金的使用效益。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主要经验做法、改进措施和有关建议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仿宋_GB2312"/>
          <w:szCs w:val="32"/>
          <w:lang w:val="en-US"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TBhYjcwOWUwYTlkNDU1N2IyYTU0NDZhOWZkZmYifQ=="/>
  </w:docVars>
  <w:rsids>
    <w:rsidRoot w:val="00000000"/>
    <w:rsid w:val="01440858"/>
    <w:rsid w:val="03906F4F"/>
    <w:rsid w:val="05AE36CA"/>
    <w:rsid w:val="060F49E8"/>
    <w:rsid w:val="06ED1C3A"/>
    <w:rsid w:val="0DE0128D"/>
    <w:rsid w:val="11965BC6"/>
    <w:rsid w:val="13AE1FF0"/>
    <w:rsid w:val="18F55836"/>
    <w:rsid w:val="1DCA1CC3"/>
    <w:rsid w:val="1F8B3E25"/>
    <w:rsid w:val="255812AD"/>
    <w:rsid w:val="285A3310"/>
    <w:rsid w:val="2BFE182D"/>
    <w:rsid w:val="2DB4511E"/>
    <w:rsid w:val="2EC11E6F"/>
    <w:rsid w:val="2FE3060A"/>
    <w:rsid w:val="30EE2458"/>
    <w:rsid w:val="36FC3DA7"/>
    <w:rsid w:val="378A5996"/>
    <w:rsid w:val="3B854432"/>
    <w:rsid w:val="4048066A"/>
    <w:rsid w:val="48142DC6"/>
    <w:rsid w:val="4F072FE0"/>
    <w:rsid w:val="50EA0B67"/>
    <w:rsid w:val="532C1654"/>
    <w:rsid w:val="5822508B"/>
    <w:rsid w:val="5A3C6978"/>
    <w:rsid w:val="5AC52D7A"/>
    <w:rsid w:val="5B024938"/>
    <w:rsid w:val="5CD21777"/>
    <w:rsid w:val="60343BAD"/>
    <w:rsid w:val="636C365E"/>
    <w:rsid w:val="642A0795"/>
    <w:rsid w:val="65647462"/>
    <w:rsid w:val="657D46EB"/>
    <w:rsid w:val="67600811"/>
    <w:rsid w:val="68C22A13"/>
    <w:rsid w:val="77CD0717"/>
    <w:rsid w:val="78DB4A46"/>
    <w:rsid w:val="7AFA0477"/>
    <w:rsid w:val="7CF836F5"/>
    <w:rsid w:val="7DB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751</Characters>
  <Lines>0</Lines>
  <Paragraphs>0</Paragraphs>
  <TotalTime>1</TotalTime>
  <ScaleCrop>false</ScaleCrop>
  <LinksUpToDate>false</LinksUpToDate>
  <CharactersWithSpaces>751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2024-02-06T02:34:00Z</cp:lastPrinted>
  <dcterms:modified xsi:type="dcterms:W3CDTF">2024-02-23T05:36:43Z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64689CEEF06E446C92B07E15A66CDE3D_13</vt:lpwstr>
  </property>
</Properties>
</file>