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4-4</w:t>
      </w:r>
      <w:r>
        <w:rPr>
          <w:rFonts w:hint="eastAsia" w:ascii="仿宋_GB2312" w:hAnsi="华文中宋"/>
          <w:bCs/>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74" w:firstLineChars="20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74" w:firstLineChars="200"/>
        <w:jc w:val="center"/>
        <w:textAlignment w:val="auto"/>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eastAsia="zh-CN"/>
        </w:rPr>
        <w:t>昆明市</w:t>
      </w:r>
      <w:r>
        <w:rPr>
          <w:rFonts w:hint="eastAsia" w:ascii="方正小标宋简体" w:hAnsi="方正小标宋简体" w:eastAsia="方正小标宋简体" w:cs="方正小标宋简体"/>
          <w:sz w:val="36"/>
          <w:szCs w:val="36"/>
          <w:highlight w:val="none"/>
        </w:rPr>
        <w:t>呈贡区卫生健康局综合监督执法局</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74" w:firstLineChars="200"/>
        <w:jc w:val="center"/>
        <w:textAlignment w:val="auto"/>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20</w:t>
      </w:r>
      <w:r>
        <w:rPr>
          <w:rFonts w:hint="eastAsia" w:ascii="方正小标宋简体" w:hAnsi="方正小标宋简体" w:eastAsia="方正小标宋简体" w:cs="方正小标宋简体"/>
          <w:sz w:val="36"/>
          <w:szCs w:val="36"/>
          <w:highlight w:val="none"/>
          <w:lang w:val="en-US" w:eastAsia="zh-CN"/>
        </w:rPr>
        <w:t>23年</w:t>
      </w:r>
      <w:r>
        <w:rPr>
          <w:rFonts w:hint="eastAsia" w:ascii="方正小标宋简体" w:hAnsi="方正小标宋简体" w:eastAsia="方正小标宋简体" w:cs="方正小标宋简体"/>
          <w:sz w:val="36"/>
          <w:szCs w:val="36"/>
          <w:highlight w:val="none"/>
        </w:rPr>
        <w:t>项目</w:t>
      </w:r>
      <w:r>
        <w:rPr>
          <w:rFonts w:hint="eastAsia" w:ascii="方正小标宋简体" w:hAnsi="方正小标宋简体" w:eastAsia="方正小标宋简体" w:cs="方正小标宋简体"/>
          <w:sz w:val="36"/>
          <w:szCs w:val="36"/>
          <w:highlight w:val="none"/>
          <w:lang w:eastAsia="zh-CN"/>
        </w:rPr>
        <w:t>支出</w:t>
      </w:r>
      <w:r>
        <w:rPr>
          <w:rFonts w:hint="eastAsia" w:ascii="方正小标宋简体" w:hAnsi="方正小标宋简体" w:eastAsia="方正小标宋简体" w:cs="方正小标宋简体"/>
          <w:sz w:val="36"/>
          <w:szCs w:val="36"/>
          <w:highlight w:val="none"/>
        </w:rPr>
        <w:t>绩效报告</w:t>
      </w:r>
    </w:p>
    <w:p>
      <w:pPr>
        <w:keepNext w:val="0"/>
        <w:keepLines w:val="0"/>
        <w:pageBreakBefore w:val="0"/>
        <w:widowControl w:val="0"/>
        <w:kinsoku/>
        <w:wordWrap/>
        <w:overflowPunct/>
        <w:autoSpaceDE/>
        <w:autoSpaceDN/>
        <w:bidi w:val="0"/>
        <w:adjustRightInd/>
        <w:snapToGrid/>
        <w:spacing w:line="560" w:lineRule="exact"/>
        <w:ind w:firstLine="594" w:firstLineChars="200"/>
        <w:jc w:val="both"/>
        <w:textAlignment w:val="auto"/>
        <w:rPr>
          <w:rFonts w:ascii="仿宋_GB2312"/>
          <w:b/>
          <w:szCs w:val="32"/>
          <w:highlight w:val="none"/>
        </w:rPr>
      </w:pPr>
    </w:p>
    <w:p>
      <w:pPr>
        <w:ind w:firstLine="594" w:firstLineChars="200"/>
        <w:rPr>
          <w:rFonts w:hint="eastAsia" w:ascii="仿宋_GB2312"/>
          <w:b/>
          <w:szCs w:val="32"/>
          <w:highlight w:val="none"/>
        </w:rPr>
      </w:pPr>
      <w:r>
        <w:rPr>
          <w:rFonts w:hint="eastAsia" w:ascii="仿宋_GB2312"/>
          <w:b/>
          <w:szCs w:val="32"/>
          <w:highlight w:val="none"/>
        </w:rPr>
        <w:t>一、基本情况</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94"/>
        <w:jc w:val="both"/>
        <w:textAlignment w:val="auto"/>
        <w:rPr>
          <w:rFonts w:hint="default" w:ascii="Times New Roman" w:hAnsi="Times New Roman" w:eastAsia="仿宋_GB2312" w:cs="Times New Roman"/>
          <w:color w:val="000000"/>
          <w:spacing w:val="0"/>
          <w:position w:val="0"/>
          <w:sz w:val="32"/>
          <w:szCs w:val="32"/>
          <w:shd w:val="clear" w:color="auto" w:fill="auto"/>
        </w:rPr>
      </w:pPr>
      <w:r>
        <w:rPr>
          <w:rFonts w:hint="eastAsia" w:ascii="仿宋_GB2312"/>
          <w:szCs w:val="32"/>
          <w:highlight w:val="none"/>
        </w:rPr>
        <w:t>（一）项目概况。</w:t>
      </w:r>
      <w:r>
        <w:rPr>
          <w:rFonts w:hint="default" w:ascii="Times New Roman" w:hAnsi="Times New Roman" w:eastAsia="仿宋_GB2312" w:cs="Times New Roman"/>
          <w:color w:val="000000"/>
          <w:spacing w:val="0"/>
          <w:position w:val="0"/>
          <w:sz w:val="32"/>
          <w:szCs w:val="32"/>
          <w:shd w:val="clear" w:color="auto" w:fill="auto"/>
        </w:rPr>
        <w:t>202</w:t>
      </w:r>
      <w:r>
        <w:rPr>
          <w:rFonts w:hint="eastAsia" w:ascii="Times New Roman" w:hAnsi="Times New Roman" w:eastAsia="仿宋_GB2312" w:cs="Times New Roman"/>
          <w:color w:val="000000"/>
          <w:spacing w:val="0"/>
          <w:position w:val="0"/>
          <w:sz w:val="32"/>
          <w:szCs w:val="32"/>
          <w:shd w:val="clear" w:color="auto" w:fill="auto"/>
          <w:lang w:val="en-US" w:eastAsia="zh-CN"/>
        </w:rPr>
        <w:t>3</w:t>
      </w:r>
      <w:r>
        <w:rPr>
          <w:rFonts w:hint="default" w:ascii="Times New Roman" w:hAnsi="Times New Roman" w:eastAsia="仿宋_GB2312" w:cs="Times New Roman"/>
          <w:color w:val="000000"/>
          <w:spacing w:val="0"/>
          <w:position w:val="0"/>
          <w:sz w:val="32"/>
          <w:szCs w:val="32"/>
          <w:shd w:val="clear" w:color="auto" w:fill="auto"/>
        </w:rPr>
        <w:t>年，为保障完成特定的行政工作任务或事业发展目标，用于专项业务工作的经费支出</w:t>
      </w:r>
      <w:r>
        <w:rPr>
          <w:rFonts w:hint="eastAsia" w:ascii="Times New Roman" w:hAnsi="Times New Roman" w:eastAsia="仿宋_GB2312" w:cs="Times New Roman"/>
          <w:color w:val="000000"/>
          <w:spacing w:val="0"/>
          <w:kern w:val="0"/>
          <w:position w:val="0"/>
          <w:sz w:val="32"/>
          <w:szCs w:val="32"/>
          <w:shd w:val="clear" w:color="auto" w:fill="FFFFFF"/>
          <w:lang w:val="en-US" w:eastAsia="zh-CN"/>
        </w:rPr>
        <w:t xml:space="preserve"> 24.55 </w:t>
      </w:r>
      <w:r>
        <w:rPr>
          <w:rFonts w:hint="default" w:ascii="Times New Roman" w:hAnsi="Times New Roman" w:eastAsia="仿宋_GB2312" w:cs="Times New Roman"/>
          <w:color w:val="000000"/>
          <w:spacing w:val="0"/>
          <w:position w:val="0"/>
          <w:sz w:val="32"/>
          <w:szCs w:val="32"/>
          <w:shd w:val="clear" w:color="auto" w:fill="auto"/>
        </w:rPr>
        <w:t>万元。具体项目开支情况如下：</w:t>
      </w:r>
    </w:p>
    <w:tbl>
      <w:tblPr>
        <w:tblStyle w:val="6"/>
        <w:tblW w:w="8459" w:type="dxa"/>
        <w:tblInd w:w="108" w:type="dxa"/>
        <w:tblLayout w:type="fixed"/>
        <w:tblCellMar>
          <w:top w:w="0" w:type="dxa"/>
          <w:left w:w="108" w:type="dxa"/>
          <w:bottom w:w="0" w:type="dxa"/>
          <w:right w:w="108" w:type="dxa"/>
        </w:tblCellMar>
      </w:tblPr>
      <w:tblGrid>
        <w:gridCol w:w="2202"/>
        <w:gridCol w:w="3990"/>
        <w:gridCol w:w="2267"/>
      </w:tblGrid>
      <w:tr>
        <w:trPr>
          <w:trHeight w:val="233" w:hRule="atLeast"/>
        </w:trPr>
        <w:tc>
          <w:tcPr>
            <w:tcW w:w="8459" w:type="dxa"/>
            <w:gridSpan w:val="3"/>
            <w:tcBorders>
              <w:top w:val="nil"/>
              <w:left w:val="nil"/>
              <w:bottom w:val="single" w:color="000000" w:sz="4" w:space="0"/>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594" w:firstLineChars="200"/>
              <w:jc w:val="center"/>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eastAsia="zh-CN"/>
              </w:rPr>
              <w:t>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 xml:space="preserve">年项目支出明细           </w:t>
            </w:r>
            <w:r>
              <w:rPr>
                <w:rFonts w:hint="default" w:ascii="Times New Roman" w:hAnsi="Times New Roman" w:eastAsia="仿宋_GB2312" w:cs="Times New Roman"/>
                <w:color w:val="000000"/>
                <w:kern w:val="0"/>
                <w:sz w:val="32"/>
                <w:szCs w:val="32"/>
              </w:rPr>
              <w:t>单位：元</w:t>
            </w:r>
          </w:p>
        </w:tc>
      </w:tr>
      <w:tr>
        <w:tblPrEx>
          <w:tblCellMar>
            <w:top w:w="0" w:type="dxa"/>
            <w:left w:w="108" w:type="dxa"/>
            <w:bottom w:w="0" w:type="dxa"/>
            <w:right w:w="108" w:type="dxa"/>
          </w:tblCellMar>
        </w:tblPrEx>
        <w:trPr>
          <w:trHeight w:val="627" w:hRule="atLeast"/>
        </w:trPr>
        <w:tc>
          <w:tcPr>
            <w:tcW w:w="2202" w:type="dxa"/>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支出功能分类科目编码</w:t>
            </w:r>
          </w:p>
        </w:tc>
        <w:tc>
          <w:tcPr>
            <w:tcW w:w="3990"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科目名称</w:t>
            </w:r>
          </w:p>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（二级项目名称）</w:t>
            </w:r>
          </w:p>
        </w:tc>
        <w:tc>
          <w:tcPr>
            <w:tcW w:w="2267"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支出金额</w:t>
            </w:r>
          </w:p>
        </w:tc>
      </w:tr>
      <w:tr>
        <w:tblPrEx>
          <w:tblCellMar>
            <w:top w:w="0" w:type="dxa"/>
            <w:left w:w="108" w:type="dxa"/>
            <w:bottom w:w="0" w:type="dxa"/>
            <w:right w:w="108" w:type="dxa"/>
          </w:tblCellMar>
        </w:tblPrEx>
        <w:trPr>
          <w:trHeight w:val="653" w:hRule="atLeast"/>
        </w:trPr>
        <w:tc>
          <w:tcPr>
            <w:tcW w:w="2202" w:type="dxa"/>
            <w:tcBorders>
              <w:top w:val="nil"/>
              <w:left w:val="single" w:color="000000" w:sz="4" w:space="0"/>
              <w:bottom w:val="single" w:color="000000" w:sz="4" w:space="0"/>
              <w:right w:val="single" w:color="000000" w:sz="4" w:space="0"/>
            </w:tcBorders>
            <w:shd w:val="clear" w:color="000000" w:fill="FFFFFF"/>
            <w:noWrap w:val="0"/>
            <w:vAlign w:val="center"/>
          </w:tcPr>
          <w:tbl>
            <w:tblPr>
              <w:tblStyle w:val="6"/>
              <w:tblW w:w="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2100199</w:t>
                  </w:r>
                </w:p>
              </w:tc>
            </w:tr>
          </w:tbl>
          <w:p>
            <w:pPr>
              <w:keepNext w:val="0"/>
              <w:keepLines w:val="0"/>
              <w:pageBreakBefore w:val="0"/>
              <w:widowControl/>
              <w:kinsoku/>
              <w:wordWrap/>
              <w:overflowPunct/>
              <w:topLinePunct w:val="0"/>
              <w:autoSpaceDE/>
              <w:autoSpaceDN/>
              <w:bidi w:val="0"/>
              <w:adjustRightInd/>
              <w:snapToGrid/>
              <w:spacing w:line="560" w:lineRule="exact"/>
              <w:ind w:right="0" w:rightChars="0" w:firstLine="594" w:firstLineChars="200"/>
              <w:jc w:val="left"/>
              <w:textAlignment w:val="auto"/>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2100199</w:t>
            </w:r>
          </w:p>
        </w:tc>
        <w:tc>
          <w:tcPr>
            <w:tcW w:w="3990"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Times New Roman" w:hAnsi="Times New Roman" w:eastAsia="仿宋_GB2312" w:cs="Times New Roman"/>
                <w:kern w:val="0"/>
                <w:sz w:val="32"/>
                <w:szCs w:val="32"/>
                <w:lang w:val="en-US" w:eastAsia="zh-CN"/>
              </w:rPr>
              <w:t>呈财预〔2023〕2号执法办案补助经费</w:t>
            </w:r>
          </w:p>
        </w:tc>
        <w:tc>
          <w:tcPr>
            <w:tcW w:w="2267"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50000</w:t>
            </w:r>
          </w:p>
        </w:tc>
      </w:tr>
      <w:tr>
        <w:tblPrEx>
          <w:tblCellMar>
            <w:top w:w="0" w:type="dxa"/>
            <w:left w:w="108" w:type="dxa"/>
            <w:bottom w:w="0" w:type="dxa"/>
            <w:right w:w="108" w:type="dxa"/>
          </w:tblCellMar>
        </w:tblPrEx>
        <w:trPr>
          <w:trHeight w:val="243" w:hRule="atLeast"/>
        </w:trPr>
        <w:tc>
          <w:tcPr>
            <w:tcW w:w="2202" w:type="dxa"/>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594" w:firstLineChars="20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2100</w:t>
            </w:r>
            <w:r>
              <w:rPr>
                <w:rFonts w:hint="default" w:ascii="Times New Roman" w:hAnsi="Times New Roman" w:eastAsia="仿宋_GB2312" w:cs="Times New Roman"/>
                <w:kern w:val="0"/>
                <w:sz w:val="32"/>
                <w:szCs w:val="32"/>
                <w:lang w:val="en-US" w:eastAsia="zh-CN"/>
              </w:rPr>
              <w:t>199</w:t>
            </w:r>
          </w:p>
        </w:tc>
        <w:tc>
          <w:tcPr>
            <w:tcW w:w="3990"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呈财社〔2023〕14号国家卫生城市复审达标工作经费</w:t>
            </w:r>
          </w:p>
        </w:tc>
        <w:tc>
          <w:tcPr>
            <w:tcW w:w="2267"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9744</w:t>
            </w:r>
          </w:p>
        </w:tc>
      </w:tr>
      <w:tr>
        <w:tblPrEx>
          <w:tblCellMar>
            <w:top w:w="0" w:type="dxa"/>
            <w:left w:w="108" w:type="dxa"/>
            <w:bottom w:w="0" w:type="dxa"/>
            <w:right w:w="108" w:type="dxa"/>
          </w:tblCellMar>
        </w:tblPrEx>
        <w:trPr>
          <w:cantSplit/>
          <w:trHeight w:val="283" w:hRule="atLeast"/>
        </w:trPr>
        <w:tc>
          <w:tcPr>
            <w:tcW w:w="22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594" w:firstLineChars="20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2100</w:t>
            </w:r>
            <w:r>
              <w:rPr>
                <w:rFonts w:hint="default" w:ascii="Times New Roman" w:hAnsi="Times New Roman" w:eastAsia="仿宋_GB2312" w:cs="Times New Roman"/>
                <w:kern w:val="0"/>
                <w:sz w:val="32"/>
                <w:szCs w:val="32"/>
                <w:lang w:val="en-US" w:eastAsia="zh-CN"/>
              </w:rPr>
              <w:t>199</w:t>
            </w:r>
          </w:p>
        </w:tc>
        <w:tc>
          <w:tcPr>
            <w:tcW w:w="3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呈财预〔2023〕2号卫生计生信息系统网络租用运行维护补助资金</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3880</w:t>
            </w:r>
          </w:p>
        </w:tc>
      </w:tr>
      <w:tr>
        <w:tblPrEx>
          <w:tblCellMar>
            <w:top w:w="0" w:type="dxa"/>
            <w:left w:w="108" w:type="dxa"/>
            <w:bottom w:w="0" w:type="dxa"/>
            <w:right w:w="108" w:type="dxa"/>
          </w:tblCellMar>
        </w:tblPrEx>
        <w:trPr>
          <w:trHeight w:val="285" w:hRule="atLeast"/>
        </w:trPr>
        <w:tc>
          <w:tcPr>
            <w:tcW w:w="22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594" w:firstLineChars="200"/>
              <w:jc w:val="left"/>
              <w:textAlignment w:val="auto"/>
              <w:outlineLvl w:val="9"/>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210040</w:t>
            </w:r>
            <w:r>
              <w:rPr>
                <w:rFonts w:hint="eastAsia" w:ascii="Times New Roman" w:hAnsi="Times New Roman" w:eastAsia="仿宋_GB2312" w:cs="Times New Roman"/>
                <w:kern w:val="0"/>
                <w:sz w:val="32"/>
                <w:szCs w:val="32"/>
                <w:lang w:val="en-US" w:eastAsia="zh-CN"/>
              </w:rPr>
              <w:t>2</w:t>
            </w:r>
          </w:p>
        </w:tc>
        <w:tc>
          <w:tcPr>
            <w:tcW w:w="3990" w:type="dxa"/>
            <w:tcBorders>
              <w:top w:val="single" w:color="000000" w:sz="4" w:space="0"/>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呈财社〔2023〕14号打击非法行医专项工作经费</w:t>
            </w:r>
          </w:p>
        </w:tc>
        <w:tc>
          <w:tcPr>
            <w:tcW w:w="2267" w:type="dxa"/>
            <w:tcBorders>
              <w:top w:val="single" w:color="000000" w:sz="4" w:space="0"/>
              <w:left w:val="nil"/>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center"/>
              <w:outlineLvl w:val="9"/>
              <w:rPr>
                <w:rFonts w:hint="default" w:ascii="Times New Roman" w:hAnsi="Times New Roman" w:eastAsia="仿宋_GB2312" w:cs="Times New Roman"/>
                <w:kern w:val="0"/>
                <w:sz w:val="32"/>
                <w:szCs w:val="32"/>
                <w:lang w:val="en-US"/>
              </w:rPr>
            </w:pPr>
            <w:r>
              <w:rPr>
                <w:rFonts w:hint="eastAsia" w:ascii="Times New Roman" w:hAnsi="Times New Roman" w:eastAsia="仿宋_GB2312" w:cs="Times New Roman"/>
                <w:i w:val="0"/>
                <w:color w:val="000000"/>
                <w:kern w:val="0"/>
                <w:sz w:val="32"/>
                <w:szCs w:val="32"/>
                <w:u w:val="none"/>
                <w:lang w:val="en-US" w:eastAsia="zh-CN" w:bidi="ar"/>
              </w:rPr>
              <w:t>10000</w:t>
            </w:r>
          </w:p>
        </w:tc>
      </w:tr>
      <w:tr>
        <w:tblPrEx>
          <w:tblCellMar>
            <w:top w:w="0" w:type="dxa"/>
            <w:left w:w="108" w:type="dxa"/>
            <w:bottom w:w="0" w:type="dxa"/>
            <w:right w:w="108" w:type="dxa"/>
          </w:tblCellMar>
        </w:tblPrEx>
        <w:trPr>
          <w:trHeight w:val="285" w:hRule="atLeast"/>
        </w:trPr>
        <w:tc>
          <w:tcPr>
            <w:tcW w:w="2202" w:type="dxa"/>
            <w:tcBorders>
              <w:top w:val="nil"/>
              <w:left w:val="single" w:color="000000" w:sz="4" w:space="0"/>
              <w:bottom w:val="nil"/>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594" w:firstLineChars="200"/>
              <w:jc w:val="center"/>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210040</w:t>
            </w:r>
            <w:r>
              <w:rPr>
                <w:rFonts w:hint="eastAsia" w:ascii="Times New Roman" w:hAnsi="Times New Roman" w:eastAsia="仿宋_GB2312" w:cs="Times New Roman"/>
                <w:kern w:val="0"/>
                <w:sz w:val="32"/>
                <w:szCs w:val="32"/>
                <w:lang w:val="en-US" w:eastAsia="zh-CN"/>
              </w:rPr>
              <w:t>8</w:t>
            </w:r>
          </w:p>
        </w:tc>
        <w:tc>
          <w:tcPr>
            <w:tcW w:w="3990" w:type="dxa"/>
            <w:tcBorders>
              <w:top w:val="nil"/>
              <w:left w:val="nil"/>
              <w:bottom w:val="nil"/>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呈财社〔2023〕14号2023年基本公共卫生服务项目中央补助资金卫生监督协管经费</w:t>
            </w:r>
          </w:p>
        </w:tc>
        <w:tc>
          <w:tcPr>
            <w:tcW w:w="2267" w:type="dxa"/>
            <w:tcBorders>
              <w:top w:val="nil"/>
              <w:left w:val="nil"/>
              <w:bottom w:val="nil"/>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132097.07</w:t>
            </w:r>
          </w:p>
        </w:tc>
      </w:tr>
      <w:tr>
        <w:tblPrEx>
          <w:tblCellMar>
            <w:top w:w="0" w:type="dxa"/>
            <w:left w:w="108" w:type="dxa"/>
            <w:bottom w:w="0" w:type="dxa"/>
            <w:right w:w="108" w:type="dxa"/>
          </w:tblCellMar>
        </w:tblPrEx>
        <w:trPr>
          <w:trHeight w:val="285" w:hRule="atLeast"/>
        </w:trPr>
        <w:tc>
          <w:tcPr>
            <w:tcW w:w="2202" w:type="dxa"/>
            <w:tcBorders>
              <w:top w:val="nil"/>
              <w:left w:val="single" w:color="000000" w:sz="4" w:space="0"/>
              <w:bottom w:val="nil"/>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594" w:firstLineChars="200"/>
              <w:jc w:val="center"/>
              <w:textAlignment w:val="auto"/>
              <w:outlineLvl w:val="9"/>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210040</w:t>
            </w:r>
            <w:r>
              <w:rPr>
                <w:rFonts w:hint="eastAsia" w:ascii="Times New Roman" w:hAnsi="Times New Roman" w:eastAsia="仿宋_GB2312" w:cs="Times New Roman"/>
                <w:kern w:val="0"/>
                <w:sz w:val="32"/>
                <w:szCs w:val="32"/>
                <w:lang w:val="en-US" w:eastAsia="zh-CN"/>
              </w:rPr>
              <w:t>8</w:t>
            </w:r>
          </w:p>
        </w:tc>
        <w:tc>
          <w:tcPr>
            <w:tcW w:w="3990" w:type="dxa"/>
            <w:tcBorders>
              <w:top w:val="nil"/>
              <w:left w:val="nil"/>
              <w:bottom w:val="nil"/>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呈财社〔2023〕14号2023年国家基本公共卫生服务项目区级补助资金</w:t>
            </w:r>
          </w:p>
        </w:tc>
        <w:tc>
          <w:tcPr>
            <w:tcW w:w="2267" w:type="dxa"/>
            <w:tcBorders>
              <w:top w:val="nil"/>
              <w:left w:val="nil"/>
              <w:bottom w:val="nil"/>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18200</w:t>
            </w:r>
          </w:p>
        </w:tc>
      </w:tr>
      <w:tr>
        <w:tblPrEx>
          <w:tblCellMar>
            <w:top w:w="0" w:type="dxa"/>
            <w:left w:w="108" w:type="dxa"/>
            <w:bottom w:w="0" w:type="dxa"/>
            <w:right w:w="108" w:type="dxa"/>
          </w:tblCellMar>
        </w:tblPrEx>
        <w:trPr>
          <w:trHeight w:val="285" w:hRule="atLeast"/>
        </w:trPr>
        <w:tc>
          <w:tcPr>
            <w:tcW w:w="2202" w:type="dxa"/>
            <w:tcBorders>
              <w:top w:val="nil"/>
              <w:left w:val="single" w:color="000000" w:sz="4" w:space="0"/>
              <w:bottom w:val="nil"/>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594" w:firstLineChars="200"/>
              <w:jc w:val="center"/>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210</w:t>
            </w:r>
            <w:r>
              <w:rPr>
                <w:rFonts w:hint="eastAsia" w:ascii="Times New Roman" w:hAnsi="Times New Roman" w:eastAsia="仿宋_GB2312" w:cs="Times New Roman"/>
                <w:kern w:val="0"/>
                <w:sz w:val="32"/>
                <w:szCs w:val="32"/>
                <w:lang w:val="en-US" w:eastAsia="zh-CN"/>
              </w:rPr>
              <w:t>0409</w:t>
            </w:r>
          </w:p>
        </w:tc>
        <w:tc>
          <w:tcPr>
            <w:tcW w:w="3990" w:type="dxa"/>
            <w:tcBorders>
              <w:top w:val="nil"/>
              <w:left w:val="nil"/>
              <w:bottom w:val="nil"/>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呈财预〔2023〕2号推套防艾工作经费</w:t>
            </w:r>
          </w:p>
        </w:tc>
        <w:tc>
          <w:tcPr>
            <w:tcW w:w="2267" w:type="dxa"/>
            <w:tcBorders>
              <w:top w:val="nil"/>
              <w:left w:val="nil"/>
              <w:bottom w:val="nil"/>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21600</w:t>
            </w:r>
          </w:p>
        </w:tc>
      </w:tr>
      <w:tr>
        <w:tblPrEx>
          <w:tblCellMar>
            <w:top w:w="0" w:type="dxa"/>
            <w:left w:w="108" w:type="dxa"/>
            <w:bottom w:w="0" w:type="dxa"/>
            <w:right w:w="108" w:type="dxa"/>
          </w:tblCellMar>
        </w:tblPrEx>
        <w:trPr>
          <w:trHeight w:val="285" w:hRule="atLeast"/>
        </w:trPr>
        <w:tc>
          <w:tcPr>
            <w:tcW w:w="2202" w:type="dxa"/>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594" w:firstLineChars="200"/>
              <w:jc w:val="left"/>
              <w:textAlignment w:val="auto"/>
              <w:outlineLvl w:val="9"/>
              <w:rPr>
                <w:rFonts w:hint="default" w:ascii="Times New Roman" w:hAnsi="Times New Roman" w:eastAsia="仿宋_GB2312" w:cs="Times New Roman"/>
                <w:kern w:val="0"/>
                <w:sz w:val="32"/>
                <w:szCs w:val="32"/>
                <w:lang w:val="en-US" w:eastAsia="zh-CN"/>
              </w:rPr>
            </w:pPr>
          </w:p>
        </w:tc>
        <w:tc>
          <w:tcPr>
            <w:tcW w:w="3990"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总计</w:t>
            </w:r>
          </w:p>
        </w:tc>
        <w:tc>
          <w:tcPr>
            <w:tcW w:w="2267"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245521.07</w:t>
            </w:r>
          </w:p>
        </w:tc>
      </w:tr>
    </w:tbl>
    <w:p>
      <w:pPr>
        <w:rPr>
          <w:rFonts w:hint="eastAsia" w:ascii="仿宋_GB2312" w:hAnsi="仿宋_GB2312" w:cs="仿宋_GB2312"/>
          <w:sz w:val="32"/>
          <w:szCs w:val="32"/>
          <w:highlight w:val="none"/>
          <w:lang w:val="en-US" w:eastAsia="zh-CN"/>
        </w:rPr>
      </w:pPr>
    </w:p>
    <w:p>
      <w:pPr>
        <w:numPr>
          <w:ilvl w:val="0"/>
          <w:numId w:val="1"/>
        </w:numPr>
        <w:ind w:firstLine="594" w:firstLineChars="200"/>
        <w:rPr>
          <w:rFonts w:hint="eastAsia" w:ascii="仿宋_GB2312"/>
          <w:szCs w:val="32"/>
          <w:highlight w:val="none"/>
        </w:rPr>
      </w:pPr>
      <w:r>
        <w:rPr>
          <w:rFonts w:hint="eastAsia" w:ascii="仿宋_GB2312"/>
          <w:szCs w:val="32"/>
          <w:highlight w:val="none"/>
        </w:rPr>
        <w:t>项目绩效目标。</w:t>
      </w:r>
    </w:p>
    <w:p>
      <w:pPr>
        <w:keepNext w:val="0"/>
        <w:keepLines w:val="0"/>
        <w:pageBreakBefore w:val="0"/>
        <w:widowControl w:val="0"/>
        <w:numPr>
          <w:numId w:val="0"/>
        </w:numPr>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highlight w:val="none"/>
        </w:rPr>
      </w:pPr>
      <w:r>
        <w:rPr>
          <w:rFonts w:hint="default" w:ascii="Times New Roman" w:hAnsi="Times New Roman" w:eastAsia="仿宋_GB2312" w:cs="Times New Roman"/>
          <w:color w:val="000000"/>
          <w:spacing w:val="0"/>
          <w:position w:val="0"/>
          <w:sz w:val="32"/>
          <w:szCs w:val="32"/>
          <w:shd w:val="clear" w:color="auto" w:fill="auto"/>
        </w:rPr>
        <w:t>我单位的所有项目都是紧紧围绕以强化能力建设为基础，以“文明执法，诚实服务，为民办事”为出发点和落脚点，树立“监督就是服务”的理念，全局上下统一思想，坚定信心，开拓创新，攻坚克难，不断抓好能力建设，持续改进服务质量，提高服务水平，努力开创卫生健康监督工作新局面。</w:t>
      </w:r>
    </w:p>
    <w:p>
      <w:pPr>
        <w:ind w:firstLine="594" w:firstLineChars="200"/>
        <w:rPr>
          <w:rFonts w:ascii="仿宋_GB2312"/>
          <w:b/>
          <w:szCs w:val="32"/>
          <w:highlight w:val="none"/>
        </w:rPr>
      </w:pPr>
      <w:r>
        <w:rPr>
          <w:rFonts w:hint="eastAsia" w:ascii="仿宋_GB2312"/>
          <w:b/>
          <w:szCs w:val="32"/>
          <w:highlight w:val="none"/>
        </w:rPr>
        <w:t>二、项目单位绩效报告情况。</w:t>
      </w:r>
    </w:p>
    <w:p>
      <w:pPr>
        <w:ind w:firstLine="594" w:firstLineChars="200"/>
        <w:rPr>
          <w:rFonts w:hint="default" w:ascii="Times New Roman" w:hAnsi="Times New Roman" w:eastAsia="仿宋_GB2312" w:cs="Times New Roman"/>
          <w:sz w:val="32"/>
          <w:szCs w:val="32"/>
          <w:highlight w:val="none"/>
        </w:rPr>
      </w:pPr>
      <w:r>
        <w:rPr>
          <w:rFonts w:hint="eastAsia" w:ascii="仿宋_GB2312"/>
          <w:b w:val="0"/>
          <w:bCs/>
          <w:szCs w:val="32"/>
          <w:highlight w:val="none"/>
        </w:rPr>
        <w:t>项目单位于20</w:t>
      </w:r>
      <w:r>
        <w:rPr>
          <w:rFonts w:hint="eastAsia" w:ascii="仿宋_GB2312"/>
          <w:b w:val="0"/>
          <w:bCs/>
          <w:szCs w:val="32"/>
          <w:highlight w:val="none"/>
          <w:lang w:val="en-US" w:eastAsia="zh-CN"/>
        </w:rPr>
        <w:t>24</w:t>
      </w:r>
      <w:r>
        <w:rPr>
          <w:rFonts w:hint="eastAsia" w:ascii="仿宋_GB2312"/>
          <w:b w:val="0"/>
          <w:bCs/>
          <w:szCs w:val="32"/>
          <w:highlight w:val="none"/>
        </w:rPr>
        <w:t>年</w:t>
      </w:r>
      <w:r>
        <w:rPr>
          <w:rFonts w:hint="eastAsia" w:ascii="仿宋_GB2312"/>
          <w:b w:val="0"/>
          <w:bCs/>
          <w:szCs w:val="32"/>
          <w:highlight w:val="none"/>
          <w:lang w:val="en-US" w:eastAsia="zh-CN"/>
        </w:rPr>
        <w:t>2</w:t>
      </w:r>
      <w:r>
        <w:rPr>
          <w:rFonts w:hint="eastAsia" w:ascii="仿宋_GB2312"/>
          <w:b w:val="0"/>
          <w:bCs/>
          <w:szCs w:val="32"/>
          <w:highlight w:val="none"/>
        </w:rPr>
        <w:t>月</w:t>
      </w:r>
      <w:r>
        <w:rPr>
          <w:rFonts w:hint="eastAsia" w:ascii="仿宋_GB2312"/>
          <w:b w:val="0"/>
          <w:bCs/>
          <w:szCs w:val="32"/>
          <w:highlight w:val="none"/>
          <w:lang w:val="en-US" w:eastAsia="zh-CN"/>
        </w:rPr>
        <w:t>20</w:t>
      </w:r>
      <w:r>
        <w:rPr>
          <w:rFonts w:hint="eastAsia" w:ascii="仿宋_GB2312"/>
          <w:b w:val="0"/>
          <w:bCs/>
          <w:szCs w:val="32"/>
          <w:highlight w:val="none"/>
        </w:rPr>
        <w:t>日完成了自评工作，自评报告内容、格式按要求撰写，对存在的问题、下步工作计划在自评报告中进行了表述，从自评结果来看达到了预期效果，项目单位按照要求开展和执行区域内工作和任务，按要求完成各种指令性任务，按时报告相关情况。</w:t>
      </w:r>
    </w:p>
    <w:p>
      <w:pPr>
        <w:ind w:firstLine="594" w:firstLineChars="200"/>
        <w:rPr>
          <w:rFonts w:ascii="仿宋_GB2312"/>
          <w:b/>
          <w:szCs w:val="32"/>
          <w:highlight w:val="none"/>
        </w:rPr>
      </w:pPr>
      <w:r>
        <w:rPr>
          <w:rFonts w:hint="eastAsia" w:ascii="仿宋_GB2312"/>
          <w:b/>
          <w:szCs w:val="32"/>
          <w:highlight w:val="none"/>
        </w:rPr>
        <w:t>三、绩效评价工作情况</w:t>
      </w:r>
    </w:p>
    <w:p>
      <w:pPr>
        <w:ind w:firstLine="594" w:firstLineChars="200"/>
        <w:rPr>
          <w:rFonts w:hint="eastAsia" w:ascii="仿宋_GB2312"/>
          <w:szCs w:val="32"/>
          <w:highlight w:val="none"/>
        </w:rPr>
      </w:pPr>
      <w:r>
        <w:rPr>
          <w:rFonts w:hint="eastAsia" w:ascii="仿宋_GB2312"/>
          <w:szCs w:val="32"/>
          <w:highlight w:val="none"/>
        </w:rPr>
        <w:t>（一）绩效评价目的。</w:t>
      </w:r>
    </w:p>
    <w:p>
      <w:pPr>
        <w:ind w:firstLine="594" w:firstLineChars="200"/>
        <w:rPr>
          <w:rFonts w:hint="eastAsia" w:ascii="仿宋_GB2312"/>
          <w:szCs w:val="32"/>
          <w:highlight w:val="none"/>
        </w:rPr>
      </w:pPr>
      <w:r>
        <w:rPr>
          <w:rFonts w:hint="eastAsia" w:ascii="仿宋_GB2312"/>
          <w:szCs w:val="32"/>
          <w:highlight w:val="none"/>
        </w:rPr>
        <w:t>本次自评的目的是了解该项目</w:t>
      </w:r>
      <w:r>
        <w:rPr>
          <w:rFonts w:hint="eastAsia" w:ascii="仿宋_GB2312"/>
          <w:szCs w:val="32"/>
          <w:highlight w:val="none"/>
          <w:lang w:eastAsia="zh-CN"/>
        </w:rPr>
        <w:t>202</w:t>
      </w:r>
      <w:r>
        <w:rPr>
          <w:rFonts w:hint="eastAsia" w:ascii="仿宋_GB2312"/>
          <w:szCs w:val="32"/>
          <w:highlight w:val="none"/>
          <w:lang w:val="en-US" w:eastAsia="zh-CN"/>
        </w:rPr>
        <w:t>3</w:t>
      </w:r>
      <w:r>
        <w:rPr>
          <w:rFonts w:hint="eastAsia" w:ascii="仿宋_GB2312"/>
          <w:szCs w:val="32"/>
          <w:highlight w:val="none"/>
        </w:rPr>
        <w:t>年度财政资金预算支出的绩效状况，分析存在问题及原因，为今后预算安排提供决策支持。监督资金使用部门合理合规使用资金，保证资金专款专用，取得实效，建立“花钱必问效，无效必问责”的长效机制。</w:t>
      </w:r>
    </w:p>
    <w:p>
      <w:pPr>
        <w:ind w:firstLine="594" w:firstLineChars="200"/>
        <w:rPr>
          <w:rFonts w:hint="eastAsia" w:ascii="仿宋_GB2312"/>
          <w:szCs w:val="32"/>
          <w:highlight w:val="none"/>
        </w:rPr>
      </w:pPr>
      <w:r>
        <w:rPr>
          <w:rFonts w:hint="eastAsia" w:ascii="仿宋_GB2312"/>
          <w:szCs w:val="32"/>
          <w:highlight w:val="none"/>
        </w:rPr>
        <w:t>（二）绩效评价原则、评价指标体系、评价方法</w:t>
      </w:r>
    </w:p>
    <w:p>
      <w:pPr>
        <w:ind w:firstLine="594" w:firstLineChars="200"/>
        <w:rPr>
          <w:rFonts w:hint="eastAsia" w:ascii="仿宋_GB2312"/>
          <w:szCs w:val="32"/>
          <w:highlight w:val="none"/>
        </w:rPr>
      </w:pPr>
      <w:r>
        <w:rPr>
          <w:rFonts w:hint="eastAsia" w:ascii="仿宋_GB2312"/>
          <w:szCs w:val="32"/>
          <w:highlight w:val="none"/>
        </w:rPr>
        <w:t>根据《财政支出绩效评价管理暂行办法》遵循科学规范原则、公正公开原则、分级分类原则、相关性原则、重要性原则、可比性原则、系统性原则和经济性原则，采用因素分析法、比较法和公众评判法等基本评价方法对该项目实施真实、客观、公正独立的评价；评价指标体系包括项目立项、资金落实、业务管理、财务管理、项目产出和项目效益方面。</w:t>
      </w:r>
    </w:p>
    <w:p>
      <w:pPr>
        <w:ind w:firstLine="594" w:firstLineChars="200"/>
        <w:rPr>
          <w:rFonts w:hint="eastAsia" w:ascii="仿宋_GB2312"/>
          <w:szCs w:val="32"/>
          <w:highlight w:val="none"/>
        </w:rPr>
      </w:pPr>
      <w:r>
        <w:rPr>
          <w:rFonts w:hint="eastAsia" w:ascii="仿宋_GB2312"/>
          <w:szCs w:val="32"/>
          <w:highlight w:val="none"/>
        </w:rPr>
        <w:t>（三）绩效评价工作过程。</w:t>
      </w:r>
    </w:p>
    <w:p>
      <w:pPr>
        <w:ind w:firstLine="594" w:firstLineChars="200"/>
        <w:rPr>
          <w:rFonts w:hint="eastAsia" w:ascii="仿宋_GB2312"/>
          <w:szCs w:val="32"/>
          <w:highlight w:val="none"/>
        </w:rPr>
      </w:pPr>
      <w:r>
        <w:rPr>
          <w:rFonts w:hint="eastAsia" w:ascii="仿宋_GB2312"/>
          <w:szCs w:val="32"/>
          <w:highlight w:val="none"/>
        </w:rPr>
        <w:t>1.前期准备：印发学习了区财政局《关于对202</w:t>
      </w:r>
      <w:r>
        <w:rPr>
          <w:rFonts w:hint="eastAsia" w:ascii="仿宋_GB2312"/>
          <w:szCs w:val="32"/>
          <w:highlight w:val="none"/>
          <w:lang w:val="en-US" w:eastAsia="zh-CN"/>
        </w:rPr>
        <w:t>3</w:t>
      </w:r>
      <w:r>
        <w:rPr>
          <w:rFonts w:hint="eastAsia" w:ascii="仿宋_GB2312"/>
          <w:szCs w:val="32"/>
          <w:highlight w:val="none"/>
        </w:rPr>
        <w:t>年度预算支出开展绩效自评工作的通知》，相关单位和科室传达学习了预算支出绩效评价的工作要求，了解项目基本情况，确定项目绩效评价工作程序，制定工作方案。</w:t>
      </w:r>
    </w:p>
    <w:p>
      <w:pPr>
        <w:ind w:firstLine="594" w:firstLineChars="200"/>
        <w:rPr>
          <w:rFonts w:hint="eastAsia" w:ascii="仿宋_GB2312"/>
          <w:szCs w:val="32"/>
          <w:highlight w:val="none"/>
        </w:rPr>
      </w:pPr>
      <w:r>
        <w:rPr>
          <w:rFonts w:hint="eastAsia" w:ascii="仿宋_GB2312"/>
          <w:szCs w:val="32"/>
          <w:highlight w:val="none"/>
        </w:rPr>
        <w:t>2.组织实施：为使绩效评价工作顺利开展，成立了以局长为组长、副局长为副组长、各单位科室负责人为成员的预算绩效管理工作领导小组，负责绩效评价的组织管理和实施工作，填制基础表格、收集资料、汇总数据，按照年初上级部门下达的工作目标，结合部门预算支出情况进行绩效评价并撰写绩效评价报告。</w:t>
      </w:r>
    </w:p>
    <w:p>
      <w:pPr>
        <w:ind w:firstLine="594" w:firstLineChars="200"/>
        <w:rPr>
          <w:rFonts w:hint="default" w:ascii="Times New Roman" w:hAnsi="Times New Roman" w:eastAsia="仿宋_GB2312" w:cs="Times New Roman"/>
          <w:sz w:val="32"/>
          <w:szCs w:val="32"/>
          <w:highlight w:val="none"/>
          <w:lang w:val="en-US" w:eastAsia="zh-CN"/>
        </w:rPr>
      </w:pPr>
      <w:r>
        <w:rPr>
          <w:rFonts w:hint="eastAsia" w:ascii="仿宋_GB2312"/>
          <w:szCs w:val="32"/>
          <w:highlight w:val="none"/>
        </w:rPr>
        <w:t>3.分析评价：对项目单位提供的自评报告、项目资料进行核实、分析、复查，根据绩效评价对象的特点采用现场评价和非现场评价相结合的方法对绩效目标完成情况进行评价，运用相关绩效评价方法对绩效完成情况进行综合分析、打分、形成评价结论。</w:t>
      </w:r>
    </w:p>
    <w:p>
      <w:pPr>
        <w:ind w:firstLine="594" w:firstLineChars="200"/>
        <w:rPr>
          <w:rFonts w:hint="eastAsia" w:ascii="仿宋_GB2312"/>
          <w:szCs w:val="32"/>
          <w:highlight w:val="none"/>
        </w:rPr>
      </w:pPr>
      <w:r>
        <w:rPr>
          <w:rFonts w:hint="eastAsia" w:ascii="仿宋_GB2312"/>
          <w:b/>
          <w:szCs w:val="32"/>
          <w:highlight w:val="none"/>
        </w:rPr>
        <w:t>四、绩效评价指标分析情况</w:t>
      </w:r>
    </w:p>
    <w:p>
      <w:pPr>
        <w:pStyle w:val="8"/>
        <w:keepNext w:val="0"/>
        <w:keepLines w:val="0"/>
        <w:pageBreakBefore w:val="0"/>
        <w:numPr>
          <w:ilvl w:val="0"/>
          <w:numId w:val="0"/>
        </w:numPr>
        <w:kinsoku/>
        <w:wordWrap/>
        <w:overflowPunct/>
        <w:autoSpaceDE/>
        <w:autoSpaceDN/>
        <w:bidi w:val="0"/>
        <w:adjustRightInd/>
        <w:snapToGrid/>
        <w:spacing w:line="560" w:lineRule="exact"/>
        <w:ind w:left="0" w:leftChars="0" w:firstLine="594" w:firstLineChars="200"/>
        <w:jc w:val="both"/>
        <w:textAlignment w:val="auto"/>
        <w:rPr>
          <w:rFonts w:hint="eastAsia" w:ascii="仿宋_GB2312"/>
          <w:szCs w:val="32"/>
          <w:highlight w:val="none"/>
          <w:lang w:val="en-US" w:eastAsia="zh-CN"/>
        </w:rPr>
      </w:pPr>
      <w:r>
        <w:rPr>
          <w:rFonts w:hint="eastAsia" w:ascii="仿宋_GB2312"/>
          <w:szCs w:val="32"/>
          <w:highlight w:val="none"/>
        </w:rPr>
        <w:t>（一）项目资金情况分析。</w:t>
      </w:r>
      <w:r>
        <w:rPr>
          <w:rFonts w:hint="eastAsia" w:ascii="仿宋_GB2312"/>
          <w:szCs w:val="32"/>
          <w:highlight w:val="none"/>
          <w:lang w:eastAsia="zh-CN"/>
        </w:rPr>
        <w:t>本次项目包含财政资金及其自有资金，</w:t>
      </w:r>
      <w:r>
        <w:rPr>
          <w:rFonts w:hint="eastAsia" w:ascii="仿宋_GB2312"/>
          <w:szCs w:val="32"/>
          <w:highlight w:val="none"/>
          <w:lang w:val="en-US" w:eastAsia="zh-CN"/>
        </w:rPr>
        <w:t>2023年资金支出245521.07元，其中财政拨款245521.07元，具体如下：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firstLine="594"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执法办案补助经费</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万元，主要用于制作执法工作制服、执法手持机服务费用等</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firstLine="594"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国家卫生城市复审达标工作经费0.97万元，主要用于国家卫生城市复审达标加班餐费、制作宣传标语</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firstLine="594"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卫生计生信息系统网络租用运行维护补助</w:t>
      </w:r>
      <w:r>
        <w:rPr>
          <w:rFonts w:hint="eastAsia" w:ascii="Times New Roman" w:hAnsi="Times New Roman" w:eastAsia="仿宋_GB2312" w:cs="Times New Roman"/>
          <w:color w:val="000000"/>
          <w:sz w:val="32"/>
          <w:szCs w:val="32"/>
          <w:lang w:val="en-US" w:eastAsia="zh-CN"/>
        </w:rPr>
        <w:t>资金</w:t>
      </w:r>
      <w:r>
        <w:rPr>
          <w:rFonts w:hint="default" w:ascii="Times New Roman" w:hAnsi="Times New Roman" w:eastAsia="仿宋_GB2312" w:cs="Times New Roman"/>
          <w:color w:val="000000"/>
          <w:sz w:val="32"/>
          <w:szCs w:val="32"/>
          <w:lang w:val="en-US" w:eastAsia="zh-CN"/>
        </w:rPr>
        <w:t>0.39万元，主要用于支付单位网络租用及维护的费用</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425" w:leftChars="0" w:right="0" w:firstLine="594"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rPr>
        <w:t>打击非法行医专项工作经费</w:t>
      </w:r>
      <w:r>
        <w:rPr>
          <w:rFonts w:hint="eastAsia" w:ascii="Times New Roman" w:hAnsi="Times New Roman" w:eastAsia="仿宋_GB2312" w:cs="Times New Roman"/>
          <w:color w:val="000000"/>
          <w:kern w:val="0"/>
          <w:sz w:val="32"/>
          <w:szCs w:val="32"/>
          <w:lang w:val="en-US" w:eastAsia="zh-CN"/>
        </w:rPr>
        <w:t>1万元，主要用于制作打击非法行医的宣传资料</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425" w:leftChars="0" w:right="0" w:firstLine="594"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rPr>
        <w:t>2023年基本公共卫生服务项目中央补助资金卫生监督协管经费</w:t>
      </w:r>
      <w:r>
        <w:rPr>
          <w:rFonts w:hint="eastAsia" w:ascii="Times New Roman" w:hAnsi="Times New Roman" w:eastAsia="仿宋_GB2312" w:cs="Times New Roman"/>
          <w:color w:val="auto"/>
          <w:kern w:val="0"/>
          <w:sz w:val="32"/>
          <w:szCs w:val="32"/>
          <w:lang w:val="en-US" w:eastAsia="zh-CN"/>
        </w:rPr>
        <w:t>13.21万元，主要用于发放招聘的协管员工资、社保、派遣费；</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425" w:leftChars="0" w:right="0" w:firstLine="594" w:firstLineChars="200"/>
        <w:jc w:val="both"/>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auto"/>
          <w:kern w:val="0"/>
          <w:sz w:val="32"/>
          <w:szCs w:val="32"/>
          <w:lang w:val="en-US" w:eastAsia="zh-CN"/>
        </w:rPr>
        <w:t>20</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kern w:val="0"/>
          <w:sz w:val="32"/>
          <w:szCs w:val="32"/>
          <w:lang w:val="en-US" w:eastAsia="zh-CN"/>
        </w:rPr>
        <w:t>3年国家基本公共卫生服务项目区级补助资金</w:t>
      </w:r>
      <w:r>
        <w:rPr>
          <w:rFonts w:hint="eastAsia" w:ascii="Times New Roman" w:hAnsi="Times New Roman" w:eastAsia="仿宋_GB2312" w:cs="Times New Roman"/>
          <w:kern w:val="0"/>
          <w:sz w:val="32"/>
          <w:szCs w:val="32"/>
          <w:lang w:val="en-US" w:eastAsia="zh-CN"/>
        </w:rPr>
        <w:t>1.82万元，主要用于基本公卫的基本支出</w:t>
      </w:r>
      <w:r>
        <w:rPr>
          <w:rFonts w:hint="default" w:ascii="Times New Roman" w:hAnsi="Times New Roman" w:eastAsia="仿宋_GB2312" w:cs="Times New Roman"/>
          <w:color w:val="FF0000"/>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425" w:leftChars="0" w:right="0" w:firstLine="594" w:firstLineChars="200"/>
        <w:jc w:val="both"/>
        <w:textAlignment w:val="auto"/>
        <w:rPr>
          <w:rFonts w:hint="default" w:ascii="仿宋_GB2312"/>
          <w:szCs w:val="32"/>
          <w:highlight w:val="none"/>
          <w:lang w:val="en-US" w:eastAsia="zh-CN"/>
        </w:rPr>
      </w:pPr>
      <w:r>
        <w:rPr>
          <w:rFonts w:hint="default" w:ascii="Times New Roman" w:hAnsi="Times New Roman" w:eastAsia="仿宋_GB2312" w:cs="Times New Roman"/>
          <w:kern w:val="0"/>
          <w:sz w:val="32"/>
          <w:szCs w:val="32"/>
          <w:lang w:val="en-US" w:eastAsia="zh-CN"/>
        </w:rPr>
        <w:t>推套防艾工作经费</w:t>
      </w:r>
      <w:r>
        <w:rPr>
          <w:rFonts w:hint="eastAsia" w:ascii="Times New Roman" w:hAnsi="Times New Roman" w:eastAsia="仿宋_GB2312" w:cs="Times New Roman"/>
          <w:kern w:val="0"/>
          <w:sz w:val="32"/>
          <w:szCs w:val="32"/>
          <w:lang w:val="en-US" w:eastAsia="zh-CN"/>
        </w:rPr>
        <w:t>2.16万元，主要用于艾滋病的宣传资料的制作。</w:t>
      </w:r>
    </w:p>
    <w:p>
      <w:pPr>
        <w:keepNext w:val="0"/>
        <w:keepLines w:val="0"/>
        <w:pageBreakBefore w:val="0"/>
        <w:widowControl w:val="0"/>
        <w:kinsoku/>
        <w:wordWrap/>
        <w:overflowPunct/>
        <w:topLinePunct/>
        <w:autoSpaceDE/>
        <w:autoSpaceDN/>
        <w:bidi w:val="0"/>
        <w:adjustRightInd/>
        <w:snapToGrid/>
        <w:spacing w:line="560" w:lineRule="exact"/>
        <w:ind w:left="0" w:firstLine="594"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highlight w:val="none"/>
          <w:lang w:eastAsia="zh-CN"/>
        </w:rPr>
        <w:t>（二）</w:t>
      </w:r>
      <w:r>
        <w:rPr>
          <w:rFonts w:hint="eastAsia" w:ascii="仿宋_GB2312" w:hAnsi="仿宋_GB2312" w:eastAsia="仿宋_GB2312" w:cs="仿宋_GB2312"/>
          <w:sz w:val="32"/>
          <w:szCs w:val="32"/>
          <w:highlight w:val="none"/>
          <w:lang w:eastAsia="zh-CN"/>
        </w:rPr>
        <w:t>项目实施情况</w:t>
      </w:r>
      <w:r>
        <w:rPr>
          <w:rFonts w:hint="eastAsia" w:ascii="仿宋_GB2312" w:hAnsi="仿宋_GB2312" w:cs="仿宋_GB2312"/>
          <w:sz w:val="32"/>
          <w:szCs w:val="32"/>
          <w:highlight w:val="none"/>
          <w:lang w:eastAsia="zh-CN"/>
        </w:rPr>
        <w:t>分析</w:t>
      </w:r>
    </w:p>
    <w:p>
      <w:pPr>
        <w:keepNext w:val="0"/>
        <w:keepLines w:val="0"/>
        <w:pageBreakBefore w:val="0"/>
        <w:widowControl w:val="0"/>
        <w:kinsoku/>
        <w:wordWrap/>
        <w:overflowPunct/>
        <w:topLinePunct/>
        <w:autoSpaceDE/>
        <w:autoSpaceDN/>
        <w:bidi w:val="0"/>
        <w:adjustRightInd/>
        <w:snapToGrid/>
        <w:spacing w:line="560" w:lineRule="exact"/>
        <w:ind w:left="0" w:firstLine="594"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区卫健局成立呈贡区卫健系统预算绩效管理工作领导小组，制定预算绩效管理方案印发各下属单位，中心预算绩效管理工作领导小组收集各业务部门202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年工作目标完成情况后，按照预算绩效管理方案中的指标评分表对部门整体支出绩效开展自评， 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年度部门整体支出绩效自评分为9</w:t>
      </w: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分，自评完成后将自评工作材料上报呈贡区卫健局汇总。</w:t>
      </w:r>
    </w:p>
    <w:p>
      <w:pPr>
        <w:keepNext w:val="0"/>
        <w:keepLines w:val="0"/>
        <w:pageBreakBefore w:val="0"/>
        <w:kinsoku/>
        <w:wordWrap/>
        <w:overflowPunct/>
        <w:autoSpaceDE/>
        <w:autoSpaceDN/>
        <w:bidi w:val="0"/>
        <w:adjustRightInd/>
        <w:snapToGrid/>
        <w:spacing w:line="560" w:lineRule="exact"/>
        <w:ind w:left="0" w:firstLine="594"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Cs/>
          <w:color w:val="auto"/>
          <w:sz w:val="32"/>
          <w:szCs w:val="32"/>
          <w:highlight w:val="none"/>
        </w:rPr>
        <w:t>对各项基卫项目的管理有</w:t>
      </w:r>
      <w:r>
        <w:rPr>
          <w:rFonts w:hint="eastAsia" w:ascii="仿宋_GB2312" w:hAnsi="仿宋_GB2312" w:eastAsia="仿宋_GB2312" w:cs="仿宋_GB2312"/>
          <w:bCs/>
          <w:color w:val="auto"/>
          <w:sz w:val="32"/>
          <w:szCs w:val="32"/>
          <w:highlight w:val="none"/>
          <w:lang w:val="en-US" w:eastAsia="zh-CN"/>
        </w:rPr>
        <w:t>专</w:t>
      </w:r>
      <w:r>
        <w:rPr>
          <w:rFonts w:hint="eastAsia" w:ascii="仿宋_GB2312" w:hAnsi="仿宋_GB2312" w:eastAsia="仿宋_GB2312" w:cs="仿宋_GB2312"/>
          <w:bCs/>
          <w:color w:val="auto"/>
          <w:sz w:val="32"/>
          <w:szCs w:val="32"/>
          <w:highlight w:val="none"/>
        </w:rPr>
        <w:t>人负责，并且责任明确。根据上级项目管理相关要求，结合单位实际制定本单位项目管理制度、考核制度、项目资金管理制度。辖区项目网格健全，并正常运行，覆盖率达100%</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numPr>
          <w:ilvl w:val="0"/>
          <w:numId w:val="3"/>
        </w:numPr>
        <w:kinsoku/>
        <w:wordWrap/>
        <w:overflowPunct/>
        <w:topLinePunct/>
        <w:autoSpaceDE/>
        <w:autoSpaceDN/>
        <w:bidi w:val="0"/>
        <w:adjustRightInd/>
        <w:snapToGrid/>
        <w:spacing w:line="560" w:lineRule="exact"/>
        <w:ind w:left="0" w:firstLine="594" w:firstLineChars="200"/>
        <w:jc w:val="both"/>
        <w:textAlignment w:val="auto"/>
        <w:rPr>
          <w:rFonts w:hint="eastAsia" w:ascii="仿宋_GB2312"/>
          <w:szCs w:val="32"/>
          <w:highlight w:val="none"/>
        </w:rPr>
      </w:pPr>
      <w:r>
        <w:rPr>
          <w:rFonts w:hint="eastAsia" w:ascii="仿宋_GB2312"/>
          <w:szCs w:val="32"/>
          <w:highlight w:val="none"/>
        </w:rPr>
        <w:t>项目绩效情况分析。</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2"/>
        <w:jc w:val="both"/>
        <w:textAlignment w:val="auto"/>
        <w:rPr>
          <w:rFonts w:hint="default" w:ascii="Times New Roman" w:hAnsi="Times New Roman" w:eastAsia="仿宋_GB2312" w:cs="Times New Roman"/>
          <w:b/>
          <w:color w:val="000000"/>
          <w:spacing w:val="0"/>
          <w:position w:val="0"/>
          <w:sz w:val="32"/>
          <w:szCs w:val="32"/>
          <w:shd w:val="clear" w:color="auto" w:fill="auto"/>
        </w:rPr>
      </w:pPr>
      <w:r>
        <w:rPr>
          <w:rFonts w:ascii="仿宋_GB2312"/>
          <w:szCs w:val="32"/>
          <w:highlight w:val="none"/>
        </w:rPr>
        <w:t>1.</w:t>
      </w:r>
      <w:r>
        <w:rPr>
          <w:rFonts w:hint="eastAsia" w:ascii="仿宋_GB2312"/>
          <w:szCs w:val="32"/>
          <w:highlight w:val="none"/>
        </w:rPr>
        <w:t>项目经济性分析。</w:t>
      </w:r>
      <w:r>
        <w:rPr>
          <w:rFonts w:hint="default" w:ascii="Times New Roman" w:hAnsi="Times New Roman" w:eastAsia="仿宋_GB2312" w:cs="Times New Roman"/>
          <w:color w:val="000000"/>
          <w:spacing w:val="0"/>
          <w:position w:val="0"/>
          <w:sz w:val="32"/>
          <w:szCs w:val="32"/>
          <w:shd w:val="clear" w:color="auto" w:fill="auto"/>
        </w:rPr>
        <w:t>202</w:t>
      </w:r>
      <w:r>
        <w:rPr>
          <w:rFonts w:hint="eastAsia" w:ascii="Times New Roman" w:hAnsi="Times New Roman" w:eastAsia="仿宋_GB2312" w:cs="Times New Roman"/>
          <w:color w:val="000000"/>
          <w:spacing w:val="0"/>
          <w:position w:val="0"/>
          <w:sz w:val="32"/>
          <w:szCs w:val="32"/>
          <w:shd w:val="clear" w:color="auto" w:fill="auto"/>
          <w:lang w:val="en-US" w:eastAsia="zh-CN"/>
        </w:rPr>
        <w:t>3</w:t>
      </w:r>
      <w:r>
        <w:rPr>
          <w:rFonts w:hint="default" w:ascii="Times New Roman" w:hAnsi="Times New Roman" w:eastAsia="仿宋_GB2312" w:cs="Times New Roman"/>
          <w:color w:val="000000"/>
          <w:spacing w:val="0"/>
          <w:position w:val="0"/>
          <w:sz w:val="32"/>
          <w:szCs w:val="32"/>
          <w:shd w:val="clear" w:color="auto" w:fill="auto"/>
        </w:rPr>
        <w:t>年，为保障完成特定的行政工作任务或事业发展目标，用于专项业务工作的经费支出</w:t>
      </w:r>
      <w:r>
        <w:rPr>
          <w:rFonts w:hint="eastAsia" w:ascii="Times New Roman" w:hAnsi="Times New Roman" w:eastAsia="仿宋_GB2312" w:cs="Times New Roman"/>
          <w:color w:val="000000"/>
          <w:spacing w:val="0"/>
          <w:position w:val="0"/>
          <w:sz w:val="32"/>
          <w:szCs w:val="32"/>
          <w:shd w:val="clear" w:color="auto" w:fill="auto"/>
          <w:lang w:val="en-US" w:eastAsia="zh-CN"/>
        </w:rPr>
        <w:t>24.55</w:t>
      </w:r>
      <w:r>
        <w:rPr>
          <w:rFonts w:hint="default" w:ascii="Times New Roman" w:hAnsi="Times New Roman" w:eastAsia="仿宋_GB2312" w:cs="Times New Roman"/>
          <w:color w:val="000000"/>
          <w:spacing w:val="0"/>
          <w:position w:val="0"/>
          <w:sz w:val="32"/>
          <w:szCs w:val="32"/>
          <w:shd w:val="clear" w:color="auto" w:fill="auto"/>
        </w:rPr>
        <w:t>万元。在成本（预算）控制和成本（预算）节约方面为切实加强预算管理、规范财务行为，制订了有关实施方案和管理制度，程序清楚，公开透明。</w:t>
      </w:r>
    </w:p>
    <w:p>
      <w:pPr>
        <w:keepNext w:val="0"/>
        <w:keepLines w:val="0"/>
        <w:pageBreakBefore w:val="0"/>
        <w:widowControl w:val="0"/>
        <w:kinsoku/>
        <w:wordWrap/>
        <w:overflowPunct/>
        <w:topLinePunct/>
        <w:autoSpaceDE/>
        <w:autoSpaceDN/>
        <w:bidi w:val="0"/>
        <w:adjustRightInd/>
        <w:snapToGrid/>
        <w:spacing w:line="560" w:lineRule="exact"/>
        <w:ind w:left="0" w:firstLine="594" w:firstLineChars="200"/>
        <w:jc w:val="both"/>
        <w:textAlignment w:val="auto"/>
        <w:rPr>
          <w:rFonts w:hint="default" w:ascii="Times New Roman" w:hAnsi="Times New Roman" w:eastAsia="仿宋_GB2312" w:cs="Times New Roman"/>
          <w:color w:val="000000"/>
          <w:spacing w:val="0"/>
          <w:position w:val="0"/>
          <w:sz w:val="32"/>
          <w:szCs w:val="32"/>
          <w:shd w:val="clear" w:color="auto" w:fill="auto"/>
        </w:rPr>
      </w:pPr>
      <w:r>
        <w:rPr>
          <w:rFonts w:ascii="仿宋_GB2312"/>
          <w:szCs w:val="32"/>
          <w:highlight w:val="none"/>
        </w:rPr>
        <w:t>2.</w:t>
      </w:r>
      <w:r>
        <w:rPr>
          <w:rFonts w:hint="eastAsia" w:ascii="仿宋_GB2312"/>
          <w:szCs w:val="32"/>
          <w:highlight w:val="none"/>
        </w:rPr>
        <w:t>项目的效率性分析。</w:t>
      </w:r>
      <w:r>
        <w:rPr>
          <w:rFonts w:hint="default" w:ascii="Times New Roman" w:hAnsi="Times New Roman" w:eastAsia="仿宋_GB2312" w:cs="Times New Roman"/>
          <w:color w:val="000000"/>
          <w:spacing w:val="0"/>
          <w:position w:val="0"/>
          <w:sz w:val="32"/>
          <w:szCs w:val="32"/>
          <w:shd w:val="clear" w:color="auto" w:fill="auto"/>
        </w:rPr>
        <w:t>按月制定项目经费计划报财政业务科室审批，实施进度前期一般，后期完成情况良好，经费全部按计划使用完毕，完成质量好。</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2"/>
        <w:jc w:val="both"/>
        <w:textAlignment w:val="auto"/>
        <w:rPr>
          <w:rFonts w:hint="eastAsia" w:ascii="仿宋_GB2312" w:hAnsi="仿宋_GB2312" w:eastAsia="仿宋_GB2312" w:cs="仿宋_GB2312"/>
          <w:sz w:val="32"/>
          <w:szCs w:val="32"/>
          <w:highlight w:val="none"/>
        </w:rPr>
      </w:pPr>
      <w:r>
        <w:rPr>
          <w:rFonts w:ascii="仿宋_GB2312"/>
          <w:szCs w:val="32"/>
          <w:highlight w:val="none"/>
        </w:rPr>
        <w:t>3.</w:t>
      </w:r>
      <w:r>
        <w:rPr>
          <w:rFonts w:hint="eastAsia" w:ascii="仿宋_GB2312"/>
          <w:szCs w:val="32"/>
          <w:highlight w:val="none"/>
        </w:rPr>
        <w:t>项目的效益性分析。</w:t>
      </w:r>
      <w:r>
        <w:rPr>
          <w:rFonts w:hint="default" w:ascii="Times New Roman" w:hAnsi="Times New Roman" w:eastAsia="仿宋_GB2312" w:cs="Times New Roman"/>
          <w:color w:val="000000"/>
          <w:spacing w:val="0"/>
          <w:position w:val="0"/>
          <w:sz w:val="32"/>
          <w:szCs w:val="32"/>
          <w:shd w:val="clear" w:color="auto" w:fill="auto"/>
        </w:rPr>
        <w:t>由于认真履行职责，为呈贡新区经济建设、社会发展和生态环境发挥了显著效益，服务对象和社会公众满意度大大提高。</w:t>
      </w:r>
    </w:p>
    <w:p>
      <w:pPr>
        <w:ind w:firstLine="594" w:firstLineChars="200"/>
        <w:outlineLvl w:val="0"/>
        <w:rPr>
          <w:rFonts w:hint="eastAsia" w:ascii="仿宋_GB2312"/>
          <w:b/>
          <w:szCs w:val="32"/>
          <w:highlight w:val="none"/>
        </w:rPr>
      </w:pPr>
      <w:r>
        <w:rPr>
          <w:rFonts w:hint="eastAsia" w:ascii="仿宋_GB2312"/>
          <w:b/>
          <w:szCs w:val="32"/>
          <w:highlight w:val="none"/>
        </w:rPr>
        <w:t>五、综合评价情况及评价结论</w:t>
      </w:r>
      <w:r>
        <w:rPr>
          <w:rFonts w:hint="eastAsia" w:ascii="仿宋_GB2312"/>
          <w:bCs/>
          <w:szCs w:val="32"/>
          <w:highlight w:val="none"/>
        </w:rPr>
        <w:t>（附相关评分表）</w:t>
      </w:r>
      <w:r>
        <w:rPr>
          <w:rFonts w:hint="eastAsia" w:ascii="仿宋_GB2312"/>
          <w:b/>
          <w:szCs w:val="32"/>
          <w:highlight w:val="none"/>
        </w:rPr>
        <w:t>。</w:t>
      </w:r>
    </w:p>
    <w:p>
      <w:pPr>
        <w:ind w:firstLine="594" w:firstLineChars="200"/>
        <w:outlineLvl w:val="0"/>
        <w:rPr>
          <w:rFonts w:ascii="仿宋_GB2312"/>
          <w:b/>
          <w:szCs w:val="32"/>
          <w:highlight w:val="none"/>
        </w:rPr>
      </w:pPr>
      <w:r>
        <w:rPr>
          <w:rFonts w:hint="eastAsia" w:ascii="仿宋_GB2312"/>
          <w:szCs w:val="32"/>
          <w:highlight w:val="none"/>
        </w:rPr>
        <w:t>经对项目决策、项目管理、资金管理、任务完成情况、综合效益情况进行绩效评价，综合得分</w:t>
      </w:r>
      <w:r>
        <w:rPr>
          <w:rFonts w:hint="eastAsia" w:ascii="仿宋_GB2312"/>
          <w:szCs w:val="32"/>
          <w:highlight w:val="none"/>
          <w:shd w:val="clear" w:color="auto" w:fill="auto"/>
        </w:rPr>
        <w:t>为</w:t>
      </w:r>
      <w:r>
        <w:rPr>
          <w:rFonts w:hint="eastAsia" w:ascii="仿宋_GB2312"/>
          <w:szCs w:val="32"/>
          <w:highlight w:val="none"/>
          <w:shd w:val="clear" w:color="auto" w:fill="auto"/>
          <w:lang w:val="en-US" w:eastAsia="zh-CN"/>
        </w:rPr>
        <w:t>93</w:t>
      </w:r>
      <w:r>
        <w:rPr>
          <w:rFonts w:hint="eastAsia" w:ascii="仿宋_GB2312"/>
          <w:szCs w:val="32"/>
          <w:highlight w:val="none"/>
          <w:shd w:val="clear" w:color="auto" w:fill="auto"/>
        </w:rPr>
        <w:t>分</w:t>
      </w:r>
      <w:r>
        <w:rPr>
          <w:rFonts w:hint="eastAsia" w:ascii="仿宋_GB2312"/>
          <w:szCs w:val="32"/>
          <w:highlight w:val="none"/>
        </w:rPr>
        <w:t>，评价等级为优秀。</w:t>
      </w:r>
    </w:p>
    <w:p>
      <w:pPr>
        <w:numPr>
          <w:ilvl w:val="0"/>
          <w:numId w:val="4"/>
        </w:numPr>
        <w:ind w:firstLine="594" w:firstLineChars="200"/>
        <w:rPr>
          <w:rFonts w:hint="eastAsia" w:ascii="仿宋_GB2312"/>
          <w:b/>
          <w:szCs w:val="32"/>
          <w:highlight w:val="none"/>
        </w:rPr>
      </w:pPr>
      <w:r>
        <w:rPr>
          <w:rFonts w:hint="eastAsia" w:ascii="仿宋_GB2312"/>
          <w:b/>
          <w:szCs w:val="32"/>
          <w:highlight w:val="none"/>
        </w:rPr>
        <w:t>绩效评价结果应用建议</w:t>
      </w:r>
    </w:p>
    <w:p>
      <w:pPr>
        <w:numPr>
          <w:ilvl w:val="0"/>
          <w:numId w:val="0"/>
        </w:numPr>
        <w:ind w:firstLine="594" w:firstLineChars="200"/>
        <w:rPr>
          <w:rFonts w:hint="eastAsia" w:ascii="仿宋_GB2312" w:hAnsi="仿宋_GB2312" w:eastAsia="仿宋_GB2312" w:cs="仿宋_GB2312"/>
          <w:sz w:val="32"/>
          <w:szCs w:val="32"/>
          <w:highlight w:val="none"/>
        </w:rPr>
      </w:pPr>
      <w:r>
        <w:rPr>
          <w:rFonts w:hint="eastAsia" w:ascii="仿宋_GB2312"/>
          <w:szCs w:val="32"/>
          <w:highlight w:val="none"/>
        </w:rPr>
        <w:t>建议在政府网站等信息平台公布绩效评价结果，让公众知晓财政的项目资金使用情况及效果，激发公众的参政、议政热情，从而积极献计献策、监督政府职能部门的各项工作。</w:t>
      </w:r>
    </w:p>
    <w:p>
      <w:pPr>
        <w:ind w:firstLine="594" w:firstLineChars="200"/>
        <w:rPr>
          <w:rFonts w:ascii="仿宋_GB2312"/>
          <w:b/>
          <w:szCs w:val="32"/>
          <w:highlight w:val="none"/>
        </w:rPr>
      </w:pPr>
      <w:r>
        <w:rPr>
          <w:rFonts w:hint="eastAsia" w:ascii="仿宋_GB2312"/>
          <w:b/>
          <w:szCs w:val="32"/>
          <w:highlight w:val="none"/>
        </w:rPr>
        <w:t>七、主要经验及做法、存在的问题和建议。</w:t>
      </w:r>
    </w:p>
    <w:p>
      <w:pPr>
        <w:keepNext w:val="0"/>
        <w:keepLines w:val="0"/>
        <w:pageBreakBefore w:val="0"/>
        <w:widowControl w:val="0"/>
        <w:kinsoku/>
        <w:wordWrap/>
        <w:overflowPunct/>
        <w:topLinePunct/>
        <w:autoSpaceDE/>
        <w:autoSpaceDN/>
        <w:bidi w:val="0"/>
        <w:adjustRightInd/>
        <w:snapToGrid/>
        <w:spacing w:line="560" w:lineRule="exact"/>
        <w:ind w:left="0" w:firstLine="594"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eastAsia="zh-CN"/>
        </w:rPr>
        <w:t>存在的问题：</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594" w:firstLineChars="200"/>
        <w:jc w:val="both"/>
        <w:textAlignment w:val="auto"/>
        <w:rPr>
          <w:rFonts w:hint="default" w:ascii="Times New Roman" w:hAnsi="Times New Roman" w:eastAsia="仿宋_GB2312" w:cs="Times New Roman"/>
          <w:color w:val="000000"/>
          <w:spacing w:val="0"/>
          <w:position w:val="0"/>
          <w:sz w:val="32"/>
          <w:szCs w:val="32"/>
          <w:shd w:val="clear" w:color="auto" w:fill="auto"/>
        </w:rPr>
      </w:pPr>
      <w:r>
        <w:rPr>
          <w:rFonts w:hint="eastAsia" w:ascii="Times New Roman" w:hAnsi="Times New Roman" w:eastAsia="楷体_GB2312" w:cs="Times New Roman"/>
          <w:color w:val="000000"/>
          <w:spacing w:val="0"/>
          <w:position w:val="0"/>
          <w:sz w:val="32"/>
          <w:szCs w:val="32"/>
          <w:shd w:val="clear" w:color="auto" w:fill="auto"/>
          <w:lang w:eastAsia="zh-CN"/>
        </w:rPr>
        <w:t>（</w:t>
      </w:r>
      <w:r>
        <w:rPr>
          <w:rFonts w:hint="default" w:ascii="Times New Roman" w:hAnsi="Times New Roman" w:eastAsia="楷体_GB2312" w:cs="Times New Roman"/>
          <w:color w:val="000000"/>
          <w:spacing w:val="0"/>
          <w:position w:val="0"/>
          <w:sz w:val="32"/>
          <w:szCs w:val="32"/>
          <w:shd w:val="clear" w:color="auto" w:fill="auto"/>
        </w:rPr>
        <w:t>一）专项管理方面的问题。</w:t>
      </w:r>
      <w:r>
        <w:rPr>
          <w:rFonts w:hint="default" w:ascii="Times New Roman" w:hAnsi="Times New Roman" w:eastAsia="仿宋_GB2312" w:cs="Times New Roman"/>
          <w:color w:val="000000"/>
          <w:spacing w:val="0"/>
          <w:position w:val="0"/>
          <w:sz w:val="32"/>
          <w:szCs w:val="32"/>
          <w:shd w:val="clear" w:color="auto" w:fill="auto"/>
        </w:rPr>
        <w:t>根据我局三定方案、年度工作任务目标及中长期规划，专项资金项目及资金管理办法，部门财务会计制度，中央、省、市及区委、区政府相关政策规定等，结合202</w:t>
      </w:r>
      <w:r>
        <w:rPr>
          <w:rFonts w:hint="eastAsia" w:ascii="Times New Roman" w:hAnsi="Times New Roman" w:eastAsia="仿宋_GB2312" w:cs="Times New Roman"/>
          <w:color w:val="000000"/>
          <w:spacing w:val="0"/>
          <w:position w:val="0"/>
          <w:sz w:val="32"/>
          <w:szCs w:val="32"/>
          <w:shd w:val="clear" w:color="auto" w:fill="auto"/>
          <w:lang w:val="en-US" w:eastAsia="zh-CN"/>
        </w:rPr>
        <w:t>3</w:t>
      </w:r>
      <w:r>
        <w:rPr>
          <w:rFonts w:hint="default" w:ascii="Times New Roman" w:hAnsi="Times New Roman" w:eastAsia="仿宋_GB2312" w:cs="Times New Roman"/>
          <w:color w:val="000000"/>
          <w:spacing w:val="0"/>
          <w:position w:val="0"/>
          <w:sz w:val="32"/>
          <w:szCs w:val="32"/>
          <w:shd w:val="clear" w:color="auto" w:fill="auto"/>
        </w:rPr>
        <w:t>年实际工作情况进行比较分析，项目均有立项依据，核实项目支出数据的准确性和真实性。</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594" w:firstLineChars="200"/>
        <w:jc w:val="both"/>
        <w:textAlignment w:val="auto"/>
        <w:rPr>
          <w:rFonts w:hint="default" w:ascii="Times New Roman" w:hAnsi="Times New Roman" w:eastAsia="仿宋_GB2312" w:cs="Times New Roman"/>
          <w:color w:val="000000"/>
          <w:spacing w:val="0"/>
          <w:position w:val="0"/>
          <w:sz w:val="32"/>
          <w:szCs w:val="32"/>
          <w:shd w:val="clear" w:color="auto" w:fill="auto"/>
        </w:rPr>
      </w:pPr>
      <w:r>
        <w:rPr>
          <w:rFonts w:hint="default" w:ascii="Times New Roman" w:hAnsi="Times New Roman" w:eastAsia="楷体_GB2312" w:cs="Times New Roman"/>
          <w:color w:val="000000"/>
          <w:spacing w:val="0"/>
          <w:position w:val="0"/>
          <w:sz w:val="32"/>
          <w:szCs w:val="32"/>
          <w:shd w:val="clear" w:color="auto" w:fill="auto"/>
        </w:rPr>
        <w:t>（二）资金分配方面的问题。</w:t>
      </w:r>
      <w:r>
        <w:rPr>
          <w:rFonts w:hint="default" w:ascii="Times New Roman" w:hAnsi="Times New Roman" w:eastAsia="仿宋_GB2312" w:cs="Times New Roman"/>
          <w:color w:val="000000"/>
          <w:spacing w:val="0"/>
          <w:position w:val="0"/>
          <w:sz w:val="32"/>
          <w:szCs w:val="32"/>
          <w:shd w:val="clear" w:color="auto" w:fill="auto"/>
        </w:rPr>
        <w:t>项目资金分配相对合理，突出重点项目；个别项目有散小差现象；资金分配和使用方向与资金管理办法相符。</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594" w:firstLineChars="200"/>
        <w:jc w:val="both"/>
        <w:textAlignment w:val="auto"/>
        <w:rPr>
          <w:rFonts w:hint="default" w:ascii="Times New Roman" w:hAnsi="Times New Roman" w:eastAsia="仿宋_GB2312" w:cs="Times New Roman"/>
          <w:color w:val="000000"/>
          <w:spacing w:val="0"/>
          <w:position w:val="0"/>
          <w:sz w:val="32"/>
          <w:szCs w:val="32"/>
          <w:shd w:val="clear" w:color="auto" w:fill="auto"/>
        </w:rPr>
      </w:pPr>
      <w:r>
        <w:rPr>
          <w:rFonts w:hint="default" w:ascii="Times New Roman" w:hAnsi="Times New Roman" w:eastAsia="楷体_GB2312" w:cs="Times New Roman"/>
          <w:color w:val="000000"/>
          <w:spacing w:val="0"/>
          <w:position w:val="0"/>
          <w:sz w:val="32"/>
          <w:szCs w:val="32"/>
          <w:shd w:val="clear" w:color="auto" w:fill="auto"/>
        </w:rPr>
        <w:t>（三）资金拨付方面的问题。</w:t>
      </w:r>
      <w:r>
        <w:rPr>
          <w:rFonts w:hint="default" w:ascii="Times New Roman" w:hAnsi="Times New Roman" w:eastAsia="仿宋_GB2312" w:cs="Times New Roman"/>
          <w:color w:val="000000"/>
          <w:spacing w:val="0"/>
          <w:position w:val="0"/>
          <w:sz w:val="32"/>
          <w:szCs w:val="32"/>
          <w:shd w:val="clear" w:color="auto" w:fill="auto"/>
        </w:rPr>
        <w:t>项目资金拨付相对及时，无滞留、闲置等现象。</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594" w:firstLineChars="200"/>
        <w:jc w:val="both"/>
        <w:textAlignment w:val="auto"/>
        <w:rPr>
          <w:rFonts w:hint="default" w:ascii="Times New Roman" w:hAnsi="Times New Roman" w:eastAsia="仿宋_GB2312" w:cs="Times New Roman"/>
          <w:color w:val="000000"/>
          <w:spacing w:val="0"/>
          <w:position w:val="0"/>
          <w:sz w:val="32"/>
          <w:szCs w:val="32"/>
          <w:shd w:val="clear" w:color="auto" w:fill="auto"/>
        </w:rPr>
      </w:pPr>
      <w:r>
        <w:rPr>
          <w:rFonts w:hint="default" w:ascii="Times New Roman" w:hAnsi="Times New Roman" w:eastAsia="楷体_GB2312" w:cs="Times New Roman"/>
          <w:color w:val="000000"/>
          <w:spacing w:val="0"/>
          <w:position w:val="0"/>
          <w:sz w:val="32"/>
          <w:szCs w:val="32"/>
          <w:shd w:val="clear" w:color="auto" w:fill="auto"/>
        </w:rPr>
        <w:t>（四）资金使用方面的问题。</w:t>
      </w:r>
      <w:r>
        <w:rPr>
          <w:rFonts w:hint="default" w:ascii="Times New Roman" w:hAnsi="Times New Roman" w:eastAsia="仿宋_GB2312" w:cs="Times New Roman"/>
          <w:color w:val="000000"/>
          <w:spacing w:val="0"/>
          <w:position w:val="0"/>
          <w:sz w:val="32"/>
          <w:szCs w:val="32"/>
          <w:shd w:val="clear" w:color="auto" w:fill="auto"/>
        </w:rPr>
        <w:t>严格执行预算绩效考核制度，项目资金使用符合规定，无截留、挪用等现象，杜绝财政资金滞留、闲置，完成年初项目计划，提高资金使用效率。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rPr>
        <w:t>主要经验做法、改进措施和有关建议</w:t>
      </w:r>
      <w:r>
        <w:rPr>
          <w:rFonts w:hint="eastAsia" w:ascii="仿宋_GB2312" w:hAnsi="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594" w:firstLineChars="200"/>
        <w:jc w:val="both"/>
        <w:textAlignment w:val="auto"/>
        <w:rPr>
          <w:rFonts w:hint="default" w:ascii="Times New Roman" w:hAnsi="Times New Roman" w:eastAsia="仿宋_GB2312" w:cs="Times New Roman"/>
          <w:color w:val="000000"/>
          <w:spacing w:val="0"/>
          <w:position w:val="0"/>
          <w:sz w:val="32"/>
          <w:szCs w:val="32"/>
          <w:shd w:val="clear" w:color="auto" w:fill="auto"/>
        </w:rPr>
      </w:pPr>
      <w:r>
        <w:rPr>
          <w:rFonts w:hint="eastAsia" w:ascii="Times New Roman" w:hAnsi="Times New Roman" w:eastAsia="仿宋_GB2312" w:cs="Times New Roman"/>
          <w:color w:val="000000"/>
          <w:spacing w:val="0"/>
          <w:position w:val="0"/>
          <w:sz w:val="32"/>
          <w:szCs w:val="32"/>
          <w:shd w:val="clear" w:color="auto" w:fill="auto"/>
          <w:lang w:val="en-US" w:eastAsia="zh-CN"/>
        </w:rPr>
        <w:t>1.</w:t>
      </w:r>
      <w:r>
        <w:rPr>
          <w:rFonts w:hint="default" w:ascii="Times New Roman" w:hAnsi="Times New Roman" w:eastAsia="仿宋_GB2312" w:cs="Times New Roman"/>
          <w:color w:val="000000"/>
          <w:spacing w:val="0"/>
          <w:position w:val="0"/>
          <w:sz w:val="32"/>
          <w:szCs w:val="32"/>
          <w:shd w:val="clear" w:color="auto" w:fill="auto"/>
        </w:rPr>
        <w:t>加强政治理论及业务培训学习，提高人员综合素质及业务水平。</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94" w:firstLineChars="200"/>
        <w:jc w:val="both"/>
        <w:textAlignment w:val="auto"/>
        <w:rPr>
          <w:rFonts w:hint="default" w:ascii="Times New Roman" w:hAnsi="Times New Roman" w:eastAsia="仿宋_GB2312" w:cs="Times New Roman"/>
          <w:color w:val="000000"/>
          <w:spacing w:val="0"/>
          <w:position w:val="0"/>
          <w:sz w:val="32"/>
          <w:szCs w:val="32"/>
          <w:shd w:val="clear" w:color="auto" w:fill="auto"/>
        </w:rPr>
      </w:pPr>
      <w:r>
        <w:rPr>
          <w:rFonts w:hint="default" w:ascii="Times New Roman" w:hAnsi="Times New Roman" w:eastAsia="仿宋_GB2312" w:cs="Times New Roman"/>
          <w:color w:val="000000"/>
          <w:spacing w:val="0"/>
          <w:position w:val="0"/>
          <w:sz w:val="32"/>
          <w:szCs w:val="32"/>
          <w:shd w:val="clear" w:color="auto" w:fill="auto"/>
        </w:rPr>
        <w:t>2.加强学习中华人民共和国预算法，政府采购法及有关财经纪律和业务知识，增强预算精准性。</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594" w:firstLineChars="200"/>
        <w:jc w:val="both"/>
        <w:textAlignment w:val="auto"/>
        <w:rPr>
          <w:rFonts w:hint="default" w:ascii="Times New Roman" w:hAnsi="Times New Roman" w:eastAsia="仿宋_GB2312" w:cs="Times New Roman"/>
          <w:color w:val="000000"/>
          <w:spacing w:val="0"/>
          <w:position w:val="0"/>
          <w:sz w:val="32"/>
          <w:szCs w:val="32"/>
          <w:shd w:val="clear" w:color="auto" w:fill="FFFFFF"/>
        </w:rPr>
      </w:pPr>
      <w:r>
        <w:rPr>
          <w:rFonts w:hint="default" w:ascii="Times New Roman" w:hAnsi="Times New Roman" w:eastAsia="仿宋_GB2312" w:cs="Times New Roman"/>
          <w:color w:val="000000"/>
          <w:spacing w:val="0"/>
          <w:position w:val="0"/>
          <w:sz w:val="32"/>
          <w:szCs w:val="32"/>
          <w:shd w:val="clear" w:color="auto" w:fill="auto"/>
        </w:rPr>
        <w:t>3.认真做好年初预算工作，严格按照财经制度和单位财务管理制度合理使用，厉行节约，资金使用合理规范。</w:t>
      </w:r>
    </w:p>
    <w:p>
      <w:pPr>
        <w:ind w:firstLine="594" w:firstLineChars="200"/>
        <w:rPr>
          <w:highlight w:val="none"/>
        </w:rPr>
      </w:pPr>
      <w:r>
        <w:rPr>
          <w:rFonts w:hint="eastAsia" w:ascii="仿宋_GB2312"/>
          <w:b/>
          <w:szCs w:val="32"/>
          <w:highlight w:val="none"/>
        </w:rPr>
        <w:t>八、其他需说明的问题。</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无其他需要说明的问题。</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highlight w:val="none"/>
          <w:lang w:val="en-US" w:eastAsia="zh-CN"/>
        </w:rPr>
      </w:pPr>
    </w:p>
    <w:p>
      <w:pPr>
        <w:ind w:firstLine="594" w:firstLineChars="200"/>
        <w:rPr>
          <w:rFonts w:hint="eastAsia" w:ascii="仿宋_GB2312"/>
          <w:szCs w:val="32"/>
        </w:rPr>
      </w:pPr>
      <w:r>
        <w:rPr>
          <w:rFonts w:hint="eastAsia" w:ascii="仿宋_GB2312"/>
          <w:szCs w:val="32"/>
        </w:rPr>
        <w:t>附件：项目支出绩效指标评分表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spacing w:line="600" w:lineRule="exact"/>
        <w:jc w:val="right"/>
        <w:rPr>
          <w:rFonts w:hint="eastAsia" w:ascii="仿宋_GB2312" w:hAnsi="仿宋_GB2312" w:cs="仿宋_GB2312"/>
          <w:bCs/>
          <w:szCs w:val="32"/>
        </w:rPr>
      </w:pPr>
      <w:r>
        <w:rPr>
          <w:rFonts w:hint="eastAsia" w:ascii="仿宋_GB2312" w:hAnsi="仿宋_GB2312" w:cs="仿宋_GB2312"/>
          <w:szCs w:val="32"/>
        </w:rPr>
        <w:t xml:space="preserve"> 昆明市呈贡区卫生健康局</w:t>
      </w:r>
    </w:p>
    <w:p>
      <w:pPr>
        <w:ind w:firstLine="594" w:firstLineChars="200"/>
        <w:jc w:val="right"/>
        <w:outlineLvl w:val="0"/>
        <w:rPr>
          <w:rFonts w:hint="eastAsia" w:ascii="仿宋_GB2312" w:hAnsi="仿宋_GB2312" w:cs="仿宋_GB2312"/>
          <w:szCs w:val="32"/>
        </w:rPr>
      </w:pPr>
      <w:r>
        <w:rPr>
          <w:rFonts w:hint="eastAsia" w:ascii="仿宋_GB2312" w:hAnsi="仿宋_GB2312" w:cs="仿宋_GB2312"/>
          <w:szCs w:val="32"/>
        </w:rPr>
        <w:t xml:space="preserve">                            202</w:t>
      </w:r>
      <w:r>
        <w:rPr>
          <w:rFonts w:hint="eastAsia" w:ascii="仿宋_GB2312" w:hAnsi="仿宋_GB2312" w:cs="仿宋_GB2312"/>
          <w:szCs w:val="32"/>
          <w:lang w:val="en-US" w:eastAsia="zh-CN"/>
        </w:rPr>
        <w:t>4</w:t>
      </w:r>
      <w:r>
        <w:rPr>
          <w:rFonts w:hint="eastAsia" w:ascii="仿宋_GB2312" w:hAnsi="仿宋_GB2312" w:cs="仿宋_GB2312"/>
          <w:szCs w:val="32"/>
        </w:rPr>
        <w:t>年</w:t>
      </w:r>
      <w:r>
        <w:rPr>
          <w:rFonts w:hint="eastAsia" w:ascii="仿宋_GB2312" w:hAnsi="仿宋_GB2312" w:cs="仿宋_GB2312"/>
          <w:szCs w:val="32"/>
          <w:lang w:val="en-US" w:eastAsia="zh-CN"/>
        </w:rPr>
        <w:t>2</w:t>
      </w:r>
      <w:r>
        <w:rPr>
          <w:rFonts w:hint="eastAsia" w:ascii="仿宋_GB2312" w:hAnsi="仿宋_GB2312" w:cs="仿宋_GB2312"/>
          <w:szCs w:val="32"/>
        </w:rPr>
        <w:t>月</w:t>
      </w:r>
      <w:r>
        <w:rPr>
          <w:rFonts w:hint="eastAsia" w:ascii="仿宋_GB2312" w:hAnsi="仿宋_GB2312" w:cs="仿宋_GB2312"/>
          <w:szCs w:val="32"/>
          <w:lang w:val="en-US" w:eastAsia="zh-CN"/>
        </w:rPr>
        <w:t>23</w:t>
      </w:r>
      <w:r>
        <w:rPr>
          <w:rFonts w:hint="eastAsia" w:ascii="仿宋_GB2312" w:hAnsi="仿宋_GB2312" w:cs="仿宋_GB2312"/>
          <w:szCs w:val="32"/>
        </w:rPr>
        <w:t>日</w:t>
      </w:r>
    </w:p>
    <w:p>
      <w:pPr>
        <w:ind w:firstLine="594" w:firstLineChars="200"/>
        <w:jc w:val="right"/>
        <w:outlineLvl w:val="0"/>
        <w:rPr>
          <w:rFonts w:hint="eastAsia" w:ascii="仿宋_GB2312" w:hAnsi="仿宋_GB2312" w:cs="仿宋_GB2312"/>
          <w:szCs w:val="32"/>
        </w:rPr>
      </w:pPr>
    </w:p>
    <w:p>
      <w:pPr>
        <w:ind w:firstLine="594" w:firstLineChars="200"/>
        <w:jc w:val="right"/>
        <w:outlineLvl w:val="0"/>
        <w:rPr>
          <w:rFonts w:hint="eastAsia" w:ascii="仿宋_GB2312" w:hAnsi="仿宋_GB2312" w:cs="仿宋_GB2312"/>
          <w:szCs w:val="32"/>
        </w:rPr>
      </w:pPr>
    </w:p>
    <w:p>
      <w:pPr>
        <w:jc w:val="both"/>
        <w:outlineLvl w:val="0"/>
        <w:rPr>
          <w:rFonts w:hint="eastAsia" w:ascii="仿宋_GB2312" w:hAnsi="仿宋_GB2312" w:cs="仿宋_GB2312"/>
          <w:szCs w:val="32"/>
        </w:rPr>
      </w:pPr>
    </w:p>
    <w:p>
      <w:pPr>
        <w:ind w:firstLine="594" w:firstLineChars="200"/>
        <w:jc w:val="right"/>
        <w:outlineLvl w:val="0"/>
        <w:rPr>
          <w:rFonts w:hint="eastAsia" w:ascii="仿宋_GB2312" w:hAnsi="仿宋_GB2312" w:cs="仿宋_GB2312"/>
          <w:szCs w:val="32"/>
        </w:rPr>
      </w:pPr>
    </w:p>
    <w:p>
      <w:pPr>
        <w:ind w:firstLine="594" w:firstLineChars="200"/>
        <w:jc w:val="right"/>
        <w:outlineLvl w:val="0"/>
        <w:rPr>
          <w:rFonts w:hint="eastAsia" w:ascii="仿宋_GB2312" w:hAnsi="仿宋_GB2312" w:cs="仿宋_GB2312"/>
          <w:szCs w:val="32"/>
        </w:rPr>
      </w:pPr>
    </w:p>
    <w:tbl>
      <w:tblPr>
        <w:tblStyle w:val="6"/>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08"/>
        <w:gridCol w:w="8"/>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499" w:hRule="atLeast"/>
          <w:tblHeader/>
        </w:trPr>
        <w:tc>
          <w:tcPr>
            <w:tcW w:w="8847" w:type="dxa"/>
            <w:gridSpan w:val="11"/>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640" w:lineRule="exact"/>
              <w:ind w:left="0" w:leftChars="0" w:firstLine="674" w:firstLineChars="200"/>
              <w:jc w:val="center"/>
              <w:textAlignment w:val="auto"/>
              <w:rPr>
                <w:rFonts w:hint="eastAsia" w:ascii="方正小标宋简体" w:hAnsi="方正小标宋简体" w:eastAsia="方正小标宋简体" w:cs="方正小标宋简体"/>
                <w:sz w:val="36"/>
                <w:szCs w:val="36"/>
                <w:highlight w:val="none"/>
              </w:rPr>
            </w:pPr>
            <w:r>
              <w:rPr>
                <w:rFonts w:hint="eastAsia" w:ascii="黑体" w:hAnsi="宋体" w:eastAsia="黑体" w:cs="宋体"/>
                <w:kern w:val="0"/>
                <w:sz w:val="36"/>
                <w:szCs w:val="36"/>
              </w:rPr>
              <w:t>202</w:t>
            </w:r>
            <w:r>
              <w:rPr>
                <w:rFonts w:hint="eastAsia" w:ascii="黑体" w:hAnsi="宋体" w:eastAsia="黑体" w:cs="宋体"/>
                <w:kern w:val="0"/>
                <w:sz w:val="36"/>
                <w:szCs w:val="36"/>
                <w:lang w:val="en-US" w:eastAsia="zh-CN"/>
              </w:rPr>
              <w:t>3</w:t>
            </w:r>
            <w:r>
              <w:rPr>
                <w:rFonts w:hint="eastAsia" w:ascii="黑体" w:hAnsi="宋体" w:eastAsia="黑体" w:cs="宋体"/>
                <w:kern w:val="0"/>
                <w:sz w:val="36"/>
                <w:szCs w:val="36"/>
              </w:rPr>
              <w:t>年呈贡区卫生健康局综合监督执法局</w:t>
            </w:r>
          </w:p>
          <w:p>
            <w:pPr>
              <w:widowControl/>
              <w:spacing w:before="293" w:beforeLines="50" w:after="293" w:afterLines="50"/>
              <w:ind w:firstLine="674" w:firstLineChars="20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blHeader/>
        </w:trPr>
        <w:tc>
          <w:tcPr>
            <w:tcW w:w="616"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3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747"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5</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ascii="仿宋_GB2312" w:hAnsi="宋体" w:cs="宋体"/>
                <w:kern w:val="0"/>
                <w:sz w:val="21"/>
                <w:szCs w:val="21"/>
              </w:rPr>
              <w:t>7</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ascii="仿宋_GB2312" w:hAnsi="宋体" w:cs="宋体"/>
                <w:kern w:val="0"/>
                <w:sz w:val="21"/>
                <w:szCs w:val="21"/>
              </w:rPr>
              <w:t>4-7</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ascii="仿宋_GB2312" w:hAnsi="宋体" w:cs="宋体"/>
                <w:kern w:val="0"/>
                <w:sz w:val="21"/>
                <w:szCs w:val="21"/>
              </w:rPr>
              <w:t>3-6</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ascii="仿宋_GB2312" w:hAnsi="宋体" w:cs="宋体"/>
                <w:kern w:val="0"/>
                <w:sz w:val="21"/>
                <w:szCs w:val="21"/>
              </w:rPr>
              <w:t>2-5</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ascii="仿宋_GB2312" w:hAnsi="宋体" w:cs="宋体"/>
                <w:kern w:val="0"/>
                <w:sz w:val="21"/>
                <w:szCs w:val="21"/>
              </w:rPr>
              <w:t>2-5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1</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noWrap w:val="0"/>
            <w:vAlign w:val="center"/>
          </w:tcPr>
          <w:p>
            <w:pPr>
              <w:widowControl/>
              <w:spacing w:line="260" w:lineRule="exact"/>
              <w:ind w:left="190" w:hanging="187"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ascii="仿宋_GB2312" w:hAnsi="宋体" w:cs="宋体"/>
                <w:kern w:val="0"/>
                <w:sz w:val="21"/>
                <w:szCs w:val="21"/>
              </w:rPr>
              <w:t>55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(15</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trPr>
        <w:tc>
          <w:tcPr>
            <w:tcW w:w="2356" w:type="dxa"/>
            <w:gridSpan w:val="5"/>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93</w:t>
            </w:r>
          </w:p>
        </w:tc>
        <w:tc>
          <w:tcPr>
            <w:tcW w:w="2775"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pStyle w:val="9"/>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bookmarkStart w:id="0" w:name="_GoBack"/>
      <w:bookmarkEnd w:id="0"/>
    </w:p>
    <w:sectPr>
      <w:headerReference r:id="rId3" w:type="default"/>
      <w:footerReference r:id="rId4" w:type="default"/>
      <w:pgSz w:w="11906" w:h="16838"/>
      <w:pgMar w:top="2098" w:right="1474" w:bottom="1984" w:left="1587" w:header="851" w:footer="992" w:gutter="0"/>
      <w:pgNumType w:fmt="decimal"/>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4D"/>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D2958"/>
    <w:multiLevelType w:val="singleLevel"/>
    <w:tmpl w:val="C80D2958"/>
    <w:lvl w:ilvl="0" w:tentative="0">
      <w:start w:val="1"/>
      <w:numFmt w:val="decimal"/>
      <w:lvlText w:val="%1."/>
      <w:lvlJc w:val="left"/>
      <w:pPr>
        <w:ind w:left="425" w:hanging="425"/>
      </w:pPr>
      <w:rPr>
        <w:rFonts w:hint="default"/>
        <w:color w:val="auto"/>
      </w:rPr>
    </w:lvl>
  </w:abstractNum>
  <w:abstractNum w:abstractNumId="1">
    <w:nsid w:val="F99D99F3"/>
    <w:multiLevelType w:val="singleLevel"/>
    <w:tmpl w:val="F99D99F3"/>
    <w:lvl w:ilvl="0" w:tentative="0">
      <w:start w:val="6"/>
      <w:numFmt w:val="chineseCounting"/>
      <w:suff w:val="nothing"/>
      <w:lvlText w:val="%1、"/>
      <w:lvlJc w:val="left"/>
      <w:rPr>
        <w:rFonts w:hint="eastAsia"/>
      </w:rPr>
    </w:lvl>
  </w:abstractNum>
  <w:abstractNum w:abstractNumId="2">
    <w:nsid w:val="FA9E0A11"/>
    <w:multiLevelType w:val="singleLevel"/>
    <w:tmpl w:val="FA9E0A11"/>
    <w:lvl w:ilvl="0" w:tentative="0">
      <w:start w:val="3"/>
      <w:numFmt w:val="chineseCounting"/>
      <w:suff w:val="nothing"/>
      <w:lvlText w:val="（%1）"/>
      <w:lvlJc w:val="left"/>
      <w:rPr>
        <w:rFonts w:hint="eastAsia"/>
      </w:rPr>
    </w:lvl>
  </w:abstractNum>
  <w:abstractNum w:abstractNumId="3">
    <w:nsid w:val="35D43B7E"/>
    <w:multiLevelType w:val="singleLevel"/>
    <w:tmpl w:val="35D43B7E"/>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53"/>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ZjE2ZTRmMmRkMWE1Mjg0NmJkNWQ0ZTg0ZWVkODQifQ=="/>
  </w:docVars>
  <w:rsids>
    <w:rsidRoot w:val="00000000"/>
    <w:rsid w:val="01DC46F2"/>
    <w:rsid w:val="02E35293"/>
    <w:rsid w:val="05AE36CA"/>
    <w:rsid w:val="093E2DB4"/>
    <w:rsid w:val="0F9C0A4B"/>
    <w:rsid w:val="10455972"/>
    <w:rsid w:val="108B1206"/>
    <w:rsid w:val="1C1C3415"/>
    <w:rsid w:val="1D4B2FF3"/>
    <w:rsid w:val="1D954836"/>
    <w:rsid w:val="20050EA8"/>
    <w:rsid w:val="2035478B"/>
    <w:rsid w:val="2A7457C6"/>
    <w:rsid w:val="2B63268D"/>
    <w:rsid w:val="2B926DDF"/>
    <w:rsid w:val="2C900DFD"/>
    <w:rsid w:val="32E7364E"/>
    <w:rsid w:val="33FB1092"/>
    <w:rsid w:val="36CB5131"/>
    <w:rsid w:val="378A5996"/>
    <w:rsid w:val="409B517A"/>
    <w:rsid w:val="42D11161"/>
    <w:rsid w:val="49AC74A5"/>
    <w:rsid w:val="4C9D15DC"/>
    <w:rsid w:val="517A3F69"/>
    <w:rsid w:val="530A53F1"/>
    <w:rsid w:val="55A904A3"/>
    <w:rsid w:val="563752A3"/>
    <w:rsid w:val="59AE258A"/>
    <w:rsid w:val="5A3C1FFE"/>
    <w:rsid w:val="5A3C6978"/>
    <w:rsid w:val="5B180558"/>
    <w:rsid w:val="5CD82B27"/>
    <w:rsid w:val="66402D4F"/>
    <w:rsid w:val="665D4F73"/>
    <w:rsid w:val="66B21CD0"/>
    <w:rsid w:val="67600811"/>
    <w:rsid w:val="6BB34520"/>
    <w:rsid w:val="6C692E30"/>
    <w:rsid w:val="6E16530A"/>
    <w:rsid w:val="6F0B2399"/>
    <w:rsid w:val="6F4D77A4"/>
    <w:rsid w:val="6FB14035"/>
    <w:rsid w:val="7A223E78"/>
    <w:rsid w:val="7A942884"/>
    <w:rsid w:val="7AF66669"/>
    <w:rsid w:val="7B920277"/>
    <w:rsid w:val="7C49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200" w:firstLineChars="200"/>
    </w:pPr>
    <w:rPr>
      <w:rFonts w:ascii="??" w:hAnsi="??" w:cs="Times New Roman"/>
      <w:sz w:val="28"/>
      <w:szCs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列出段落1"/>
    <w:basedOn w:val="1"/>
    <w:autoRedefine/>
    <w:qFormat/>
    <w:uiPriority w:val="99"/>
    <w:pPr>
      <w:ind w:firstLine="420"/>
    </w:pPr>
  </w:style>
  <w:style w:type="paragraph" w:customStyle="1" w:styleId="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p0"/>
    <w:basedOn w:val="1"/>
    <w:autoRedefine/>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4421</Words>
  <Characters>4604</Characters>
  <Lines>0</Lines>
  <Paragraphs>0</Paragraphs>
  <TotalTime>1</TotalTime>
  <ScaleCrop>false</ScaleCrop>
  <LinksUpToDate>false</LinksUpToDate>
  <CharactersWithSpaces>4611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2024-02-20T06:03:00Z</cp:lastPrinted>
  <dcterms:modified xsi:type="dcterms:W3CDTF">2024-02-23T07:39:52Z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C5990D30A59C4B6F8E2336441727C77F</vt:lpwstr>
  </property>
</Properties>
</file>