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洛龙街道社区卫生服务中心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ind w:firstLine="612" w:firstLineChars="200"/>
        <w:rPr>
          <w:rFonts w:hint="eastAsia" w:ascii="仿宋_GB2312" w:hAnsi="仿宋_GB2312" w:cs="仿宋_GB2312"/>
          <w:sz w:val="32"/>
          <w:szCs w:val="32"/>
          <w:lang w:val="en-US" w:eastAsia="zh-CN"/>
        </w:rPr>
      </w:pPr>
      <w:r>
        <w:rPr>
          <w:rFonts w:hint="eastAsia" w:ascii="仿宋_GB2312"/>
          <w:szCs w:val="32"/>
          <w:highlight w:val="none"/>
        </w:rPr>
        <w:t>（一）项目概况。</w:t>
      </w:r>
      <w:r>
        <w:rPr>
          <w:rFonts w:hint="eastAsia" w:ascii="仿宋_GB2312"/>
          <w:szCs w:val="32"/>
          <w:highlight w:val="none"/>
          <w:lang w:eastAsia="zh-CN"/>
        </w:rPr>
        <w:t>项目单位</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11个项目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合计金额：1655946.27</w:t>
      </w:r>
      <w:r>
        <w:rPr>
          <w:rFonts w:hint="eastAsia" w:ascii="仿宋_GB2312" w:hAnsi="仿宋_GB2312" w:cs="仿宋_GB2312"/>
          <w:sz w:val="32"/>
          <w:szCs w:val="32"/>
          <w:lang w:val="en-US" w:eastAsia="zh-CN"/>
        </w:rPr>
        <w:t>元。具体概况如下：</w:t>
      </w:r>
    </w:p>
    <w:p>
      <w:pPr>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基层医师工作室扶持经费</w:t>
      </w:r>
      <w:r>
        <w:rPr>
          <w:rFonts w:hint="eastAsia" w:ascii="仿宋_GB2312" w:hAnsi="仿宋_GB2312" w:eastAsia="仿宋_GB2312" w:cs="仿宋_GB2312"/>
          <w:b w:val="0"/>
          <w:bCs w:val="0"/>
          <w:sz w:val="32"/>
          <w:szCs w:val="32"/>
        </w:rPr>
        <w:t>，属经常性项目，该项目总体目标为：（1）通过</w:t>
      </w:r>
      <w:r>
        <w:rPr>
          <w:rFonts w:hint="eastAsia" w:ascii="仿宋_GB2312" w:hAnsi="仿宋_GB2312" w:eastAsia="仿宋_GB2312" w:cs="仿宋_GB2312"/>
          <w:b w:val="0"/>
          <w:bCs w:val="0"/>
          <w:sz w:val="32"/>
          <w:szCs w:val="32"/>
          <w:lang w:eastAsia="zh-CN"/>
        </w:rPr>
        <w:t>设立</w:t>
      </w:r>
      <w:r>
        <w:rPr>
          <w:rFonts w:hint="eastAsia" w:ascii="仿宋_GB2312" w:hAnsi="仿宋_GB2312" w:eastAsia="仿宋_GB2312" w:cs="仿宋_GB2312"/>
          <w:b w:val="0"/>
          <w:bCs w:val="0"/>
          <w:sz w:val="32"/>
          <w:szCs w:val="32"/>
          <w:lang w:val="en-US" w:eastAsia="zh-CN"/>
        </w:rPr>
        <w:t>基层医师工作室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扶持指导基层卫生服务中心医师开展</w:t>
      </w:r>
      <w:r>
        <w:rPr>
          <w:rFonts w:hint="eastAsia" w:ascii="仿宋_GB2312" w:hAnsi="仿宋_GB2312" w:eastAsia="仿宋_GB2312" w:cs="仿宋_GB2312"/>
          <w:b w:val="0"/>
          <w:bCs w:val="0"/>
          <w:sz w:val="32"/>
          <w:szCs w:val="32"/>
        </w:rPr>
        <w:t>正常的诊疗服务满足</w:t>
      </w:r>
      <w:r>
        <w:rPr>
          <w:rFonts w:hint="eastAsia" w:ascii="仿宋_GB2312" w:hAnsi="仿宋_GB2312" w:eastAsia="仿宋_GB2312" w:cs="仿宋_GB2312"/>
          <w:b w:val="0"/>
          <w:bCs w:val="0"/>
          <w:sz w:val="32"/>
          <w:szCs w:val="32"/>
          <w:lang w:eastAsia="zh-CN"/>
        </w:rPr>
        <w:t>呈贡区各</w:t>
      </w:r>
      <w:r>
        <w:rPr>
          <w:rFonts w:hint="eastAsia" w:ascii="仿宋_GB2312" w:hAnsi="仿宋_GB2312" w:eastAsia="仿宋_GB2312" w:cs="仿宋_GB2312"/>
          <w:b w:val="0"/>
          <w:bCs w:val="0"/>
          <w:sz w:val="32"/>
          <w:szCs w:val="32"/>
        </w:rPr>
        <w:t>街道辖区广大居民的基本医疗和公共卫生服务需求，推进医联体建设，构建起“15分钟医疗服务圈”，响应国家“家门口的医疗”的号召。（2）通过解决业务用房的问题，能正常开展诊疗服务，能满足周边地区广大居民的基本医疗和公共卫生服务需</w:t>
      </w:r>
      <w:r>
        <w:rPr>
          <w:rFonts w:hint="eastAsia" w:ascii="仿宋_GB2312" w:hAnsi="仿宋_GB2312" w:eastAsia="仿宋_GB2312" w:cs="仿宋_GB2312"/>
          <w:b w:val="0"/>
          <w:bCs w:val="0"/>
          <w:sz w:val="32"/>
          <w:szCs w:val="32"/>
          <w:lang w:eastAsia="zh-CN"/>
        </w:rPr>
        <w:t>求。</w:t>
      </w:r>
    </w:p>
    <w:p>
      <w:pPr>
        <w:numPr>
          <w:ilvl w:val="0"/>
          <w:numId w:val="0"/>
        </w:numPr>
        <w:topLinePunct/>
        <w:ind w:firstLine="61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单位以前年度经费账户结余专项</w:t>
      </w:r>
      <w:r>
        <w:rPr>
          <w:rFonts w:hint="eastAsia" w:ascii="仿宋_GB2312" w:hAnsi="仿宋_GB2312" w:cs="仿宋_GB2312"/>
          <w:b w:val="0"/>
          <w:bCs w:val="0"/>
          <w:sz w:val="32"/>
          <w:szCs w:val="32"/>
          <w:lang w:val="en-US" w:eastAsia="zh-CN"/>
        </w:rPr>
        <w:t>经费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属经常性项目，</w:t>
      </w:r>
    </w:p>
    <w:p>
      <w:pPr>
        <w:numPr>
          <w:ilvl w:val="0"/>
          <w:numId w:val="0"/>
        </w:numPr>
        <w:topLinePunct/>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val="en-US" w:eastAsia="zh-CN"/>
        </w:rPr>
        <w:t>2023年基层医疗卫生机构为城乡居民提供基本公共卫生服务工作的顺利开展，免费为辖区群众提供健康档案、健康教育、预防接种、传染病防治、儿童保健、孕产妇保健、老年人保健、高血压、糖尿病、严重精神障碍患者等慢性病管理、卫生监督协管等国家基本公共卫生服务项目</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 xml:space="preserve"> </w:t>
      </w:r>
    </w:p>
    <w:p>
      <w:pPr>
        <w:numPr>
          <w:ilvl w:val="0"/>
          <w:numId w:val="0"/>
        </w:numPr>
        <w:topLinePunct/>
        <w:ind w:firstLine="612" w:firstLineChars="200"/>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自有资金支出经费，属经常性项目，</w:t>
      </w: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val="en-US" w:eastAsia="zh-CN"/>
        </w:rPr>
        <w:t>2023年基层医疗卫生机构为城乡居民提供基本公共卫生服务工作的顺利开展，免费为辖区群众提供健康档案、健康教育、预防接种、传染病防治、儿童保健、孕产妇保健、老年人保健、高血压、糖尿病、严重精神障碍患者等慢性病管理、卫生监督协管等国家基本公共卫生服务项目</w:t>
      </w:r>
      <w:r>
        <w:rPr>
          <w:rFonts w:hint="eastAsia" w:ascii="仿宋_GB2312" w:hAnsi="仿宋_GB2312" w:cs="仿宋_GB2312"/>
          <w:b w:val="0"/>
          <w:bCs w:val="0"/>
          <w:color w:val="auto"/>
          <w:sz w:val="32"/>
          <w:szCs w:val="32"/>
          <w:lang w:val="en-US" w:eastAsia="zh-CN"/>
        </w:rPr>
        <w:t>。</w:t>
      </w:r>
    </w:p>
    <w:p>
      <w:pPr>
        <w:numPr>
          <w:ilvl w:val="0"/>
          <w:numId w:val="0"/>
        </w:numPr>
        <w:topLinePunct/>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2023年重大活动医疗保障经费属经常性项目</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val="en-US" w:eastAsia="zh-CN"/>
        </w:rPr>
        <w:t>用于重大活动医疗保障</w:t>
      </w:r>
      <w:r>
        <w:rPr>
          <w:rFonts w:hint="eastAsia" w:ascii="仿宋_GB2312" w:hAnsi="仿宋_GB2312" w:cs="仿宋_GB2312"/>
          <w:b w:val="0"/>
          <w:bCs w:val="0"/>
          <w:color w:val="auto"/>
          <w:sz w:val="32"/>
          <w:szCs w:val="32"/>
          <w:lang w:val="en-US" w:eastAsia="zh-CN"/>
        </w:rPr>
        <w:t>。</w:t>
      </w:r>
    </w:p>
    <w:p>
      <w:pPr>
        <w:numPr>
          <w:ilvl w:val="0"/>
          <w:numId w:val="0"/>
        </w:numPr>
        <w:topLinePunct/>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sz w:val="32"/>
          <w:szCs w:val="32"/>
          <w:lang w:val="en-US" w:eastAsia="zh-CN"/>
        </w:rPr>
        <w:t>2023年重精“以奖代补”经费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：促进严重精神障碍患者监护人切实履行监护责任，积极配合治疗开展康复训练，妥善看护居家患者，确保不因疏于救治管理而发生危害社会案件发生。</w:t>
      </w:r>
    </w:p>
    <w:p>
      <w:pPr>
        <w:numPr>
          <w:ilvl w:val="0"/>
          <w:numId w:val="0"/>
        </w:numPr>
        <w:topLinePunct/>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2022年、2023年实施基本药物制度省级补助资金（结转2023年）经费，属经常性项目，</w:t>
      </w: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：保证辖区所有政府办基层医疗卫生机构实施国家基本药物制度，推进综合改革顺利进行，对实施国家基本药物制度的村卫生室给予补助，支持国家基本药物制度在村卫生室顺利实施。</w:t>
      </w:r>
    </w:p>
    <w:p>
      <w:pPr>
        <w:numPr>
          <w:ilvl w:val="0"/>
          <w:numId w:val="0"/>
        </w:numPr>
        <w:topLinePunct/>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2023年区级建档立卡家签补助资金经费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属经常性项目 ，</w:t>
      </w:r>
      <w:r>
        <w:rPr>
          <w:rFonts w:hint="eastAsia" w:ascii="仿宋_GB2312" w:hAnsi="仿宋_GB2312" w:eastAsia="仿宋_GB2312" w:cs="仿宋_GB2312"/>
          <w:b w:val="0"/>
          <w:bCs w:val="0"/>
          <w:sz w:val="32"/>
          <w:szCs w:val="32"/>
        </w:rPr>
        <w:t>该项目总体目标为</w:t>
      </w:r>
      <w:r>
        <w:rPr>
          <w:rFonts w:hint="eastAsia" w:ascii="仿宋_GB2312" w:hAnsi="仿宋_GB2312" w:eastAsia="仿宋_GB2312" w:cs="仿宋_GB2312"/>
          <w:b w:val="0"/>
          <w:bCs w:val="0"/>
          <w:sz w:val="32"/>
          <w:szCs w:val="32"/>
          <w:lang w:eastAsia="zh-CN"/>
        </w:rPr>
        <w:t>：辖区贫困人口家庭医生签约服务区级补助。</w:t>
      </w:r>
    </w:p>
    <w:p>
      <w:pPr>
        <w:numPr>
          <w:ilvl w:val="0"/>
          <w:numId w:val="0"/>
        </w:numPr>
        <w:topLinePunct/>
        <w:ind w:firstLine="61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基本公共卫生服务经费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属经常性项目</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该项目总体目标为</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1</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免费向城乡居民提供基本公共卫生服务，促进基本公共卫生服务均等化</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按照《国家基本公共卫生服务规范（第三版）》为城乡居民建立健康档案，开展健康教育、预防接种等服务，将-6岁儿童、5岁以上老年人、孕产妇、原发性高血压和2型糖尿病患者、严重精神障碍患者、肺结核患者列为重点人群，提供针对性的健康管理服务。</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2</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开展对重点疾病及危害因素监测，有效控制疾病流行，为制度相关政策提供依据。保持重点地方病防治措施全面落实。开展职业病监测，最大限度保护放射人员、患者和公众的健康权益。同时推进妇幼卫生、健康素养促进、医养结合和老年健康服务、卫生应急、计划生育等方面工作。</w:t>
      </w:r>
    </w:p>
    <w:p>
      <w:pPr>
        <w:numPr>
          <w:ilvl w:val="0"/>
          <w:numId w:val="0"/>
        </w:numPr>
        <w:topLinePunct/>
        <w:ind w:firstLine="61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lang w:val="en-US" w:eastAsia="zh-CN"/>
        </w:rPr>
        <w:t>23年重大公共卫生服务经费</w:t>
      </w:r>
      <w:r>
        <w:rPr>
          <w:rFonts w:hint="eastAsia" w:ascii="仿宋_GB2312" w:hAnsi="仿宋_GB2312" w:cs="仿宋_GB2312"/>
          <w:b w:val="0"/>
          <w:bCs w:val="0"/>
          <w:sz w:val="32"/>
          <w:szCs w:val="32"/>
          <w:lang w:val="en-US" w:eastAsia="zh-CN"/>
        </w:rPr>
        <w:t>主要包括2</w:t>
      </w:r>
      <w:r>
        <w:rPr>
          <w:rFonts w:hint="eastAsia" w:ascii="仿宋_GB2312" w:hAnsi="仿宋_GB2312" w:eastAsia="仿宋_GB2312" w:cs="仿宋_GB2312"/>
          <w:b w:val="0"/>
          <w:bCs w:val="0"/>
          <w:sz w:val="32"/>
          <w:szCs w:val="32"/>
          <w:lang w:val="en-US" w:eastAsia="zh-CN"/>
        </w:rPr>
        <w:t>022年重大传染病防控中央结算补助经费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2021年上半年新冠肺炎疫苗省级补助经费。</w:t>
      </w:r>
    </w:p>
    <w:p>
      <w:pPr>
        <w:topLinePunct/>
        <w:ind w:firstLine="612" w:firstLineChars="20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eastAsia="zh-CN"/>
        </w:rPr>
        <w:t>.2023年突发公共卫生事件应急处理经费</w:t>
      </w:r>
      <w:r>
        <w:rPr>
          <w:rFonts w:hint="eastAsia" w:ascii="仿宋_GB2312" w:hAnsi="仿宋_GB2312" w:cs="仿宋_GB2312"/>
          <w:b w:val="0"/>
          <w:bCs w:val="0"/>
          <w:sz w:val="32"/>
          <w:szCs w:val="32"/>
          <w:lang w:val="en-US" w:eastAsia="zh-CN"/>
        </w:rPr>
        <w:t>主要包括</w:t>
      </w:r>
      <w:r>
        <w:rPr>
          <w:rFonts w:hint="eastAsia" w:ascii="仿宋_GB2312" w:hAnsi="仿宋_GB2312" w:eastAsia="仿宋_GB2312" w:cs="仿宋_GB2312"/>
          <w:b w:val="0"/>
          <w:bCs w:val="0"/>
          <w:sz w:val="32"/>
          <w:szCs w:val="32"/>
          <w:lang w:val="en-US" w:eastAsia="zh-CN"/>
        </w:rPr>
        <w:t>2022年部分新冠肺炎疫情防控（结转）工作经费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2023年新冠病毒感染过渡期医务人员中央</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省级</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区级临时性工作补助经费。</w:t>
      </w: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eastAsia"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在保证安全生产的基础上，力争各项经济业务指标有所增长。</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szCs w:val="32"/>
          <w:highlight w:val="none"/>
        </w:rPr>
        <w:t>（一）项目资金情况分析。</w:t>
      </w:r>
      <w:r>
        <w:rPr>
          <w:rFonts w:hint="eastAsia" w:ascii="仿宋_GB2312"/>
          <w:szCs w:val="32"/>
          <w:highlight w:val="none"/>
          <w:lang w:eastAsia="zh-CN"/>
        </w:rPr>
        <w:t>本次项目包含财政资金及其自有资金，</w:t>
      </w:r>
      <w:r>
        <w:rPr>
          <w:rFonts w:hint="eastAsia" w:ascii="仿宋_GB2312"/>
          <w:szCs w:val="32"/>
          <w:highlight w:val="none"/>
          <w:lang w:val="en-US" w:eastAsia="zh-CN"/>
        </w:rPr>
        <w:t>2023年资金支出1655946.27元，其中财政拨款1391342.26元，非财政拨款264604.01元，具体如下：</w:t>
      </w:r>
    </w:p>
    <w:p>
      <w:pPr>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基层医师工作室扶持经费支出：144元；</w:t>
      </w:r>
    </w:p>
    <w:p>
      <w:pPr>
        <w:numPr>
          <w:ilvl w:val="0"/>
          <w:numId w:val="0"/>
        </w:numPr>
        <w:topLinePunct/>
        <w:ind w:firstLine="612" w:firstLineChars="2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单位以前年度经费账户结余专项</w:t>
      </w:r>
      <w:r>
        <w:rPr>
          <w:rFonts w:hint="eastAsia" w:ascii="仿宋_GB2312" w:hAnsi="仿宋_GB2312" w:cs="仿宋_GB2312"/>
          <w:b w:val="0"/>
          <w:bCs w:val="0"/>
          <w:sz w:val="32"/>
          <w:szCs w:val="32"/>
          <w:lang w:val="en-US" w:eastAsia="zh-CN"/>
        </w:rPr>
        <w:t>经费</w:t>
      </w:r>
      <w:r>
        <w:rPr>
          <w:rFonts w:hint="eastAsia" w:ascii="仿宋_GB2312" w:hAnsi="仿宋_GB2312" w:eastAsia="仿宋_GB2312" w:cs="仿宋_GB2312"/>
          <w:b w:val="0"/>
          <w:bCs w:val="0"/>
          <w:sz w:val="32"/>
          <w:szCs w:val="32"/>
          <w:lang w:val="en-US" w:eastAsia="zh-CN"/>
        </w:rPr>
        <w:t>：200384.45元</w:t>
      </w:r>
      <w:r>
        <w:rPr>
          <w:rFonts w:hint="eastAsia" w:ascii="仿宋_GB2312" w:hAnsi="仿宋_GB2312" w:cs="仿宋_GB2312"/>
          <w:b w:val="0"/>
          <w:bCs w:val="0"/>
          <w:sz w:val="32"/>
          <w:szCs w:val="32"/>
          <w:lang w:val="en-US" w:eastAsia="zh-CN"/>
        </w:rPr>
        <w:t>；</w:t>
      </w:r>
    </w:p>
    <w:p>
      <w:pPr>
        <w:numPr>
          <w:ilvl w:val="0"/>
          <w:numId w:val="0"/>
        </w:numPr>
        <w:topLinePunct/>
        <w:ind w:firstLine="612" w:firstLineChars="200"/>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自有资金支出经费64219.56元</w:t>
      </w:r>
      <w:r>
        <w:rPr>
          <w:rFonts w:hint="eastAsia" w:ascii="仿宋_GB2312" w:hAnsi="仿宋_GB2312" w:cs="仿宋_GB2312"/>
          <w:b w:val="0"/>
          <w:bCs w:val="0"/>
          <w:sz w:val="32"/>
          <w:szCs w:val="32"/>
          <w:lang w:val="en-US" w:eastAsia="zh-CN"/>
        </w:rPr>
        <w:t>；</w:t>
      </w:r>
    </w:p>
    <w:p>
      <w:pPr>
        <w:numPr>
          <w:ilvl w:val="0"/>
          <w:numId w:val="0"/>
        </w:numPr>
        <w:topLinePunct/>
        <w:ind w:firstLine="612" w:firstLineChars="2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2023年重大活动医疗保障经费1268.23元</w:t>
      </w:r>
      <w:r>
        <w:rPr>
          <w:rFonts w:hint="eastAsia" w:ascii="仿宋_GB2312" w:hAnsi="仿宋_GB2312" w:cs="仿宋_GB2312"/>
          <w:b w:val="0"/>
          <w:bCs w:val="0"/>
          <w:sz w:val="32"/>
          <w:szCs w:val="32"/>
          <w:lang w:val="en-US" w:eastAsia="zh-CN"/>
        </w:rPr>
        <w:t>；</w:t>
      </w:r>
    </w:p>
    <w:p>
      <w:pPr>
        <w:numPr>
          <w:ilvl w:val="0"/>
          <w:numId w:val="0"/>
        </w:numPr>
        <w:topLinePunct/>
        <w:ind w:firstLine="612" w:firstLineChars="200"/>
        <w:rPr>
          <w:rFonts w:hint="eastAsia" w:ascii="仿宋_GB2312" w:hAnsi="仿宋_GB2312" w:cs="仿宋_GB2312"/>
          <w:b w:val="0"/>
          <w:bCs w:val="0"/>
          <w:sz w:val="32"/>
          <w:szCs w:val="32"/>
          <w:lang w:val="en-US" w:eastAsia="zh-CN"/>
        </w:rPr>
      </w:pP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sz w:val="32"/>
          <w:szCs w:val="32"/>
          <w:lang w:val="en-US" w:eastAsia="zh-CN"/>
        </w:rPr>
        <w:t>2023年重精“以奖代补”经费</w:t>
      </w:r>
      <w:r>
        <w:rPr>
          <w:rFonts w:hint="eastAsia" w:ascii="仿宋_GB2312" w:hAnsi="仿宋_GB2312" w:cs="仿宋_GB2312"/>
          <w:b w:val="0"/>
          <w:bCs w:val="0"/>
          <w:sz w:val="32"/>
          <w:szCs w:val="32"/>
          <w:lang w:val="en-US" w:eastAsia="zh-CN"/>
        </w:rPr>
        <w:t>7200</w:t>
      </w:r>
      <w:r>
        <w:rPr>
          <w:rFonts w:hint="eastAsia" w:ascii="仿宋_GB2312" w:hAnsi="仿宋_GB2312" w:eastAsia="仿宋_GB2312" w:cs="仿宋_GB2312"/>
          <w:b w:val="0"/>
          <w:bCs w:val="0"/>
          <w:sz w:val="32"/>
          <w:szCs w:val="32"/>
          <w:lang w:val="en-US" w:eastAsia="zh-CN"/>
        </w:rPr>
        <w:t>元</w:t>
      </w:r>
      <w:r>
        <w:rPr>
          <w:rFonts w:hint="eastAsia" w:ascii="仿宋_GB2312" w:hAnsi="仿宋_GB2312" w:cs="仿宋_GB2312"/>
          <w:b w:val="0"/>
          <w:bCs w:val="0"/>
          <w:sz w:val="32"/>
          <w:szCs w:val="32"/>
          <w:lang w:val="en-US" w:eastAsia="zh-CN"/>
        </w:rPr>
        <w:t>；</w:t>
      </w:r>
    </w:p>
    <w:p>
      <w:pPr>
        <w:numPr>
          <w:ilvl w:val="0"/>
          <w:numId w:val="0"/>
        </w:numPr>
        <w:topLinePunct/>
        <w:ind w:firstLine="612" w:firstLineChars="2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2022年、2023年实施基本药物制度省级补助资金（结转2023年）经费265747.56元</w:t>
      </w:r>
      <w:r>
        <w:rPr>
          <w:rFonts w:hint="eastAsia" w:ascii="仿宋_GB2312" w:hAnsi="仿宋_GB2312" w:cs="仿宋_GB2312"/>
          <w:b w:val="0"/>
          <w:bCs w:val="0"/>
          <w:sz w:val="32"/>
          <w:szCs w:val="32"/>
          <w:lang w:val="en-US" w:eastAsia="zh-CN"/>
        </w:rPr>
        <w:t>;</w:t>
      </w:r>
    </w:p>
    <w:p>
      <w:pPr>
        <w:numPr>
          <w:ilvl w:val="0"/>
          <w:numId w:val="0"/>
        </w:numPr>
        <w:topLinePunct/>
        <w:ind w:firstLine="612" w:firstLineChars="200"/>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2023年区级建档立卡家签补助资金经费</w:t>
      </w:r>
      <w:r>
        <w:rPr>
          <w:rFonts w:hint="eastAsia" w:ascii="仿宋_GB2312" w:hAnsi="仿宋_GB2312" w:cs="仿宋_GB2312"/>
          <w:b w:val="0"/>
          <w:bCs w:val="0"/>
          <w:sz w:val="32"/>
          <w:szCs w:val="32"/>
          <w:lang w:val="en-US" w:eastAsia="zh-CN"/>
        </w:rPr>
        <w:t>420.00元；</w:t>
      </w:r>
    </w:p>
    <w:p>
      <w:pPr>
        <w:numPr>
          <w:ilvl w:val="0"/>
          <w:numId w:val="2"/>
        </w:numPr>
        <w:topLinePunct/>
        <w:ind w:firstLine="61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基本公共卫生服务经费883122.58元（中央、省级市级、区级经费合计883122.58元）；</w:t>
      </w:r>
    </w:p>
    <w:p>
      <w:pPr>
        <w:numPr>
          <w:ilvl w:val="0"/>
          <w:numId w:val="2"/>
        </w:numPr>
        <w:topLinePunct/>
        <w:ind w:firstLine="61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lang w:val="en-US" w:eastAsia="zh-CN"/>
        </w:rPr>
        <w:t>23年重大公共卫生服务经费</w:t>
      </w:r>
      <w:r>
        <w:rPr>
          <w:rFonts w:hint="eastAsia" w:ascii="仿宋_GB2312" w:hAnsi="仿宋_GB2312" w:cs="仿宋_GB2312"/>
          <w:b w:val="0"/>
          <w:bCs w:val="0"/>
          <w:sz w:val="32"/>
          <w:szCs w:val="32"/>
          <w:lang w:val="en-US" w:eastAsia="zh-CN"/>
        </w:rPr>
        <w:t>主要包括2</w:t>
      </w:r>
      <w:r>
        <w:rPr>
          <w:rFonts w:hint="eastAsia" w:ascii="仿宋_GB2312" w:hAnsi="仿宋_GB2312" w:eastAsia="仿宋_GB2312" w:cs="仿宋_GB2312"/>
          <w:b w:val="0"/>
          <w:bCs w:val="0"/>
          <w:sz w:val="32"/>
          <w:szCs w:val="32"/>
          <w:lang w:val="en-US" w:eastAsia="zh-CN"/>
        </w:rPr>
        <w:t>022年重大传染病防控中央结算补助经费550元</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2021年上半年新冠肺炎疫苗省级补助经费1754.93。</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color w:val="0000FF"/>
          <w:spacing w:val="6"/>
          <w:sz w:val="32"/>
          <w:szCs w:val="32"/>
          <w:highlight w:val="none"/>
        </w:rPr>
      </w:pP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eastAsia="zh-CN"/>
        </w:rPr>
        <w:t>.2023年突发公共卫生事件应急处理经费</w:t>
      </w:r>
      <w:r>
        <w:rPr>
          <w:rFonts w:hint="eastAsia" w:ascii="仿宋_GB2312" w:hAnsi="仿宋_GB2312" w:cs="仿宋_GB2312"/>
          <w:b w:val="0"/>
          <w:bCs w:val="0"/>
          <w:sz w:val="32"/>
          <w:szCs w:val="32"/>
          <w:lang w:val="en-US" w:eastAsia="zh-CN"/>
        </w:rPr>
        <w:t>主要包括</w:t>
      </w:r>
      <w:r>
        <w:rPr>
          <w:rFonts w:hint="eastAsia" w:ascii="仿宋_GB2312" w:hAnsi="仿宋_GB2312" w:eastAsia="仿宋_GB2312" w:cs="仿宋_GB2312"/>
          <w:b w:val="0"/>
          <w:bCs w:val="0"/>
          <w:sz w:val="32"/>
          <w:szCs w:val="32"/>
          <w:lang w:val="en-US" w:eastAsia="zh-CN"/>
        </w:rPr>
        <w:t>2022年部分新冠肺炎疫情防控（结转）工作经费208420元</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2023年新冠病毒感染过渡期医务人员中央</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省级</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区级临时性工作补助经费</w:t>
      </w:r>
      <w:r>
        <w:rPr>
          <w:rFonts w:hint="eastAsia" w:ascii="仿宋_GB2312" w:hAnsi="仿宋_GB2312" w:cs="仿宋_GB2312"/>
          <w:b w:val="0"/>
          <w:bCs w:val="0"/>
          <w:sz w:val="32"/>
          <w:szCs w:val="32"/>
          <w:lang w:val="en-US" w:eastAsia="zh-CN"/>
        </w:rPr>
        <w:t>22714.96元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92</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现状和《全国医疗卫生服务体系规划纲要（2015-2020年）》，逐年加强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医疗卫生机构基础设施建设,完善服务功能，规范基本公共卫生服务工作，提高基层卫生服务水平和质量，改善群众就医环境。</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lang w:val="en-US" w:eastAsia="zh-CN"/>
        </w:rPr>
        <w:t>中心医疗服务</w:t>
      </w:r>
      <w:r>
        <w:rPr>
          <w:rFonts w:hint="eastAsia" w:ascii="仿宋_GB2312" w:hAnsi="仿宋_GB2312" w:eastAsia="仿宋_GB2312" w:cs="仿宋_GB2312"/>
          <w:color w:val="auto"/>
          <w:sz w:val="32"/>
          <w:szCs w:val="32"/>
          <w:highlight w:val="none"/>
          <w:lang w:eastAsia="zh-CN"/>
        </w:rPr>
        <w:t>能力建设，</w:t>
      </w:r>
      <w:r>
        <w:rPr>
          <w:rFonts w:hint="eastAsia" w:ascii="仿宋_GB2312" w:hAnsi="仿宋_GB2312" w:eastAsia="仿宋_GB2312" w:cs="仿宋_GB2312"/>
          <w:color w:val="auto"/>
          <w:sz w:val="32"/>
          <w:szCs w:val="32"/>
          <w:highlight w:val="none"/>
        </w:rPr>
        <w:t>提升基层医疗卫生机构服务能力。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进一步健全</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医疗卫生服务网络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按照打造15分钟卫生服务圈的目标要求，充实和加强薄弱</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的医疗卫生服务工作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中心重点学科和特色专科建设，引领重点，突出特色。开展科研课题研究及新技术、新项目引进和推广，提升医疗服务能力和水平。</w:t>
      </w:r>
    </w:p>
    <w:p>
      <w:pPr>
        <w:ind w:firstLine="612"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ind w:firstLine="612" w:firstLineChars="200"/>
        <w:rPr>
          <w:rFonts w:hint="eastAsia" w:ascii="仿宋_GB2312"/>
          <w:szCs w:val="32"/>
        </w:rPr>
      </w:pPr>
      <w:r>
        <w:rPr>
          <w:rFonts w:hint="eastAsia" w:ascii="仿宋_GB2312"/>
          <w:szCs w:val="32"/>
        </w:rPr>
        <w:t>附件：项目支出绩效指标评分表</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昆明市呈贡区卫生健康局</w:t>
      </w:r>
    </w:p>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呈贡区洛龙街道社区卫生服务中心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92</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aperSrc/>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2F6F9"/>
    <w:multiLevelType w:val="singleLevel"/>
    <w:tmpl w:val="9722F6F9"/>
    <w:lvl w:ilvl="0" w:tentative="0">
      <w:start w:val="8"/>
      <w:numFmt w:val="decimal"/>
      <w:suff w:val="nothing"/>
      <w:lvlText w:val="%1、"/>
      <w:lvlJc w:val="left"/>
    </w:lvl>
  </w:abstractNum>
  <w:abstractNum w:abstractNumId="1">
    <w:nsid w:val="F99D99F3"/>
    <w:multiLevelType w:val="singleLevel"/>
    <w:tmpl w:val="F99D99F3"/>
    <w:lvl w:ilvl="0" w:tentative="0">
      <w:start w:val="6"/>
      <w:numFmt w:val="chineseCounting"/>
      <w:suff w:val="nothing"/>
      <w:lvlText w:val="%1、"/>
      <w:lvlJc w:val="left"/>
      <w:rPr>
        <w:rFonts w:hint="eastAsia"/>
      </w:rPr>
    </w:lvl>
  </w:abstractNum>
  <w:abstractNum w:abstractNumId="2">
    <w:nsid w:val="FA9E0A11"/>
    <w:multiLevelType w:val="singleLevel"/>
    <w:tmpl w:val="FA9E0A11"/>
    <w:lvl w:ilvl="0" w:tentative="0">
      <w:start w:val="3"/>
      <w:numFmt w:val="chineseCounting"/>
      <w:suff w:val="nothing"/>
      <w:lvlText w:val="（%1）"/>
      <w:lvlJc w:val="left"/>
      <w:rPr>
        <w:rFonts w:hint="eastAsia"/>
      </w:rPr>
    </w:lvl>
  </w:abstractNum>
  <w:abstractNum w:abstractNumId="3">
    <w:nsid w:val="35D43B7E"/>
    <w:multiLevelType w:val="singleLevel"/>
    <w:tmpl w:val="35D43B7E"/>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F9C0A4B"/>
    <w:rsid w:val="10455972"/>
    <w:rsid w:val="108B1206"/>
    <w:rsid w:val="1C1C3415"/>
    <w:rsid w:val="1D954836"/>
    <w:rsid w:val="20050EA8"/>
    <w:rsid w:val="2035478B"/>
    <w:rsid w:val="2B63268D"/>
    <w:rsid w:val="2B926DDF"/>
    <w:rsid w:val="2C900DFD"/>
    <w:rsid w:val="32E7364E"/>
    <w:rsid w:val="33FB1092"/>
    <w:rsid w:val="36CB5131"/>
    <w:rsid w:val="378A5996"/>
    <w:rsid w:val="3ADB0022"/>
    <w:rsid w:val="409B517A"/>
    <w:rsid w:val="42D11161"/>
    <w:rsid w:val="44562B54"/>
    <w:rsid w:val="49AC74A5"/>
    <w:rsid w:val="4C9D15DC"/>
    <w:rsid w:val="4EA947D3"/>
    <w:rsid w:val="4F397B3D"/>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67C19B2"/>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autoRedefine/>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0</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