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4-4</w:t>
      </w:r>
      <w:r>
        <w:rPr>
          <w:rFonts w:hint="eastAsia" w:ascii="仿宋_GB2312" w:hAnsi="华文中宋"/>
          <w:bCs/>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eastAsia="zh-CN"/>
        </w:rPr>
        <w:t>昆明市</w:t>
      </w:r>
      <w:r>
        <w:rPr>
          <w:rFonts w:hint="eastAsia" w:ascii="方正小标宋简体" w:hAnsi="方正小标宋简体" w:eastAsia="方正小标宋简体" w:cs="方正小标宋简体"/>
          <w:sz w:val="36"/>
          <w:szCs w:val="36"/>
          <w:highlight w:val="none"/>
        </w:rPr>
        <w:t>呈贡区</w:t>
      </w:r>
      <w:r>
        <w:rPr>
          <w:rFonts w:hint="eastAsia" w:ascii="方正小标宋简体" w:hAnsi="方正小标宋简体" w:eastAsia="方正小标宋简体" w:cs="方正小标宋简体"/>
          <w:sz w:val="36"/>
          <w:szCs w:val="36"/>
          <w:highlight w:val="none"/>
          <w:lang w:val="en-US" w:eastAsia="zh-CN"/>
        </w:rPr>
        <w:t>斗南街道社区卫生服务中心</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36"/>
          <w:szCs w:val="36"/>
          <w:highlight w:val="none"/>
        </w:rPr>
        <w:t>20</w:t>
      </w:r>
      <w:r>
        <w:rPr>
          <w:rFonts w:hint="eastAsia" w:ascii="方正小标宋简体" w:hAnsi="方正小标宋简体" w:eastAsia="方正小标宋简体" w:cs="方正小标宋简体"/>
          <w:sz w:val="36"/>
          <w:szCs w:val="36"/>
          <w:highlight w:val="none"/>
          <w:lang w:val="en-US" w:eastAsia="zh-CN"/>
        </w:rPr>
        <w:t>23年</w:t>
      </w:r>
      <w:r>
        <w:rPr>
          <w:rFonts w:hint="eastAsia" w:ascii="方正小标宋简体" w:hAnsi="方正小标宋简体" w:eastAsia="方正小标宋简体" w:cs="方正小标宋简体"/>
          <w:sz w:val="36"/>
          <w:szCs w:val="36"/>
          <w:highlight w:val="none"/>
        </w:rPr>
        <w:t>项目</w:t>
      </w:r>
      <w:r>
        <w:rPr>
          <w:rFonts w:hint="eastAsia" w:ascii="方正小标宋简体" w:hAnsi="方正小标宋简体" w:eastAsia="方正小标宋简体" w:cs="方正小标宋简体"/>
          <w:sz w:val="36"/>
          <w:szCs w:val="36"/>
          <w:highlight w:val="none"/>
          <w:lang w:eastAsia="zh-CN"/>
        </w:rPr>
        <w:t>支出</w:t>
      </w:r>
      <w:r>
        <w:rPr>
          <w:rFonts w:hint="eastAsia" w:ascii="方正小标宋简体" w:hAnsi="方正小标宋简体" w:eastAsia="方正小标宋简体" w:cs="方正小标宋简体"/>
          <w:sz w:val="36"/>
          <w:szCs w:val="36"/>
          <w:highlight w:val="none"/>
        </w:rPr>
        <w:t>绩效报告</w:t>
      </w:r>
    </w:p>
    <w:p>
      <w:pPr>
        <w:keepNext w:val="0"/>
        <w:keepLines w:val="0"/>
        <w:pageBreakBefore w:val="0"/>
        <w:widowControl w:val="0"/>
        <w:kinsoku/>
        <w:wordWrap/>
        <w:overflowPunct/>
        <w:autoSpaceDE/>
        <w:autoSpaceDN/>
        <w:bidi w:val="0"/>
        <w:adjustRightInd/>
        <w:snapToGrid/>
        <w:spacing w:line="560" w:lineRule="exact"/>
        <w:ind w:firstLine="612" w:firstLineChars="200"/>
        <w:jc w:val="both"/>
        <w:textAlignment w:val="auto"/>
        <w:rPr>
          <w:rFonts w:ascii="仿宋_GB2312"/>
          <w:b/>
          <w:szCs w:val="32"/>
          <w:highlight w:val="none"/>
        </w:rPr>
      </w:pPr>
    </w:p>
    <w:p>
      <w:pPr>
        <w:ind w:firstLine="612" w:firstLineChars="200"/>
        <w:rPr>
          <w:rFonts w:hint="eastAsia" w:ascii="仿宋_GB2312"/>
          <w:b/>
          <w:szCs w:val="32"/>
          <w:highlight w:val="none"/>
        </w:rPr>
      </w:pPr>
      <w:r>
        <w:rPr>
          <w:rFonts w:hint="eastAsia" w:ascii="仿宋_GB2312"/>
          <w:b/>
          <w:szCs w:val="32"/>
          <w:highlight w:val="none"/>
        </w:rPr>
        <w:t>一、基本情况</w:t>
      </w:r>
    </w:p>
    <w:p>
      <w:pPr>
        <w:ind w:firstLine="612" w:firstLineChars="200"/>
        <w:outlineLvl w:val="0"/>
        <w:rPr>
          <w:rFonts w:hint="eastAsia" w:ascii="仿宋_GB2312"/>
          <w:szCs w:val="32"/>
          <w:highlight w:val="none"/>
        </w:rPr>
      </w:pPr>
      <w:r>
        <w:rPr>
          <w:rFonts w:hint="eastAsia" w:ascii="仿宋_GB2312"/>
          <w:szCs w:val="32"/>
          <w:highlight w:val="none"/>
        </w:rPr>
        <w:t>（一）项目概况。</w:t>
      </w:r>
    </w:p>
    <w:p>
      <w:pPr>
        <w:ind w:firstLine="612"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lang w:val="en-US" w:eastAsia="zh-CN"/>
        </w:rPr>
        <w:t>单位2023年度部门项目支出3071028.38元，具体包含以下10个项目：</w:t>
      </w:r>
    </w:p>
    <w:p>
      <w:pPr>
        <w:ind w:firstLine="612"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（1）易小玲专家基层工作站补助经费项目：主要用于易小玲专家基层工作站的劳务费、相关设备耗材等支出。</w:t>
      </w:r>
    </w:p>
    <w:p>
      <w:pPr>
        <w:ind w:firstLine="612"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（2）严重精神障碍患者监护人“以奖代补”补助资金项目：主要用于发放给严重精神障碍患者的监护人作为“以奖代补”补助。</w:t>
      </w:r>
    </w:p>
    <w:p>
      <w:pPr>
        <w:ind w:firstLine="612"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（3）2023年重大活动医疗保障经费项目：主要用于医疗保障活动中救护车的维修维护费、药品采购、医用耗材等相关支出。</w:t>
      </w:r>
    </w:p>
    <w:p>
      <w:pPr>
        <w:ind w:firstLine="612"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（4）自有资金支出项目：主要用于日常医疗活动中的办公费、水电费、差旅费、维修维护费、药品采购费、医用试剂耗材费、劳务费、委托业务费等相关支出。</w:t>
      </w:r>
    </w:p>
    <w:p>
      <w:pPr>
        <w:ind w:firstLine="612"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基本药物制度补助资金项目：主要用于社区卫生服务中心（站）的运行的运行保障和能力建设补助，包括人员及公用经费、基本建设、设备建设、设备购置、人员培训和人才招聘等符合政府卫生投入政策的项目。其次该资金还用于对乡村医生的收入补助，加强和规范各社区卫生室实施基本药物制度的管理，强化基层医疗卫生机构的公益性和责任意识，提升基层医疗卫生机构的服务质量，通过采取定额补助与绩效考核结算相结合的原则，对各卫生室进行考核兑现。</w:t>
      </w:r>
    </w:p>
    <w:p>
      <w:pPr>
        <w:ind w:firstLine="612"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（6）2023年建档立卡贫困人口（已脱贫）家庭医生签约服务个人缴费区级补助资金项目：主要用于建档立卡贫困人口（已脱贫）家庭医生签约服务工作的补助。</w:t>
      </w:r>
    </w:p>
    <w:p>
      <w:pPr>
        <w:ind w:firstLine="612"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基本公共卫生服务项目：主要用于执行国家基本公共卫生服务项目，即居民健康档案、健康教育、预防接种、儿童健康管理、孕产妇健康管理、老年人健康管理、高血压和2型糖尿病等慢性病患者健康管理、严重精神障碍患者管理、传染病及突发公共卫生事件报告和处理、结核病患者健康管理、中医药健康管理、卫生监督协管共12项基本公共卫生服务项目和家庭医生签约服务工作。</w:t>
      </w:r>
    </w:p>
    <w:p>
      <w:pPr>
        <w:ind w:firstLine="612"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（8）新冠肺炎疫苗省级财政补助资金项目：主要用于新冠肺炎疫苗接种工作中产生的相关支出。</w:t>
      </w:r>
    </w:p>
    <w:p>
      <w:pPr>
        <w:ind w:firstLine="612"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（9）突发公共卫生事件应急处理项目：主要用于从业人员健康体检、新冠病毒感染过渡期医务人员临时性工作补助、疫情防控工作中产生的劳务费、防控物资采购等相关支出。</w:t>
      </w:r>
    </w:p>
    <w:p>
      <w:pPr>
        <w:ind w:firstLine="612"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（10）从业人员健康体检经费项目：主要用于从业人员体检工作中产生的劳务费、试剂耗材、设备等相关支出。</w:t>
      </w:r>
    </w:p>
    <w:p>
      <w:pPr>
        <w:ind w:firstLine="612" w:firstLineChars="200"/>
        <w:rPr>
          <w:rFonts w:hint="eastAsia" w:ascii="仿宋_GB2312" w:hAnsi="仿宋_GB2312" w:cs="仿宋_GB2312"/>
          <w:b/>
          <w:bCs/>
          <w:sz w:val="32"/>
          <w:szCs w:val="32"/>
          <w:highlight w:val="none"/>
          <w:lang w:val="en-US" w:eastAsia="zh-CN"/>
        </w:rPr>
      </w:pPr>
    </w:p>
    <w:p>
      <w:pPr>
        <w:numPr>
          <w:ilvl w:val="0"/>
          <w:numId w:val="1"/>
        </w:numPr>
        <w:ind w:firstLine="612" w:firstLineChars="200"/>
        <w:rPr>
          <w:rFonts w:hint="eastAsia" w:ascii="仿宋_GB2312"/>
          <w:szCs w:val="32"/>
          <w:highlight w:val="none"/>
        </w:rPr>
      </w:pPr>
      <w:r>
        <w:rPr>
          <w:rFonts w:hint="eastAsia" w:ascii="仿宋_GB2312"/>
          <w:szCs w:val="32"/>
          <w:highlight w:val="none"/>
        </w:rPr>
        <w:t>项目绩效目标。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eastAsia" w:ascii="仿宋_GB2312"/>
          <w:szCs w:val="32"/>
          <w:highlight w:val="none"/>
        </w:rPr>
      </w:pPr>
      <w:r>
        <w:rPr>
          <w:rFonts w:hint="eastAsia" w:ascii="仿宋_GB2312"/>
          <w:szCs w:val="32"/>
          <w:highlight w:val="none"/>
          <w:lang w:val="en-US" w:eastAsia="zh-CN"/>
        </w:rPr>
        <w:t>1、</w:t>
      </w:r>
      <w:r>
        <w:rPr>
          <w:rFonts w:hint="eastAsia" w:ascii="仿宋_GB2312"/>
          <w:szCs w:val="32"/>
          <w:highlight w:val="none"/>
        </w:rPr>
        <w:t>项目绩效总目标。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（1）按照上级各业务部门下达的各项指标要求，按时按质按量完成14项国家基本公共卫生服务项目。开展母婴保健技术服务。</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（2）按规范开展基本医疗服务工作，保证医疗安全、提升医疗质量、加强消毒隔离及公共卫生管理；严格执行国家基本药物制度；做好辖区现场应急救援保障。</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（3）按规范开展计划生育服务工作。</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eastAsia" w:ascii="仿宋_GB2312"/>
          <w:szCs w:val="32"/>
          <w:highlight w:val="none"/>
        </w:rPr>
      </w:pPr>
      <w:r>
        <w:rPr>
          <w:rFonts w:hint="default" w:ascii="Times New Roman" w:hAnsi="Times New Roman" w:eastAsia="仿宋_GB2312" w:cs="Times New Roman"/>
          <w:sz w:val="32"/>
          <w:szCs w:val="32"/>
          <w:highlight w:val="none"/>
        </w:rPr>
        <w:t>（4）在保证安全生产的基础上，力争各项经济业务指标有所增长。</w:t>
      </w:r>
    </w:p>
    <w:p>
      <w:pPr>
        <w:numPr>
          <w:ilvl w:val="0"/>
          <w:numId w:val="2"/>
        </w:numPr>
        <w:ind w:firstLine="612" w:firstLineChars="200"/>
        <w:rPr>
          <w:rFonts w:hint="eastAsia" w:ascii="仿宋_GB2312"/>
          <w:szCs w:val="32"/>
          <w:highlight w:val="none"/>
        </w:rPr>
      </w:pPr>
      <w:r>
        <w:rPr>
          <w:rFonts w:hint="eastAsia" w:ascii="仿宋_GB2312"/>
          <w:szCs w:val="32"/>
          <w:highlight w:val="none"/>
        </w:rPr>
        <w:t>项目绩效阶段性目标。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国家基本公共卫生服务项目补助资金：</w:t>
      </w:r>
      <w:r>
        <w:rPr>
          <w:rFonts w:hint="default" w:ascii="Times New Roman" w:hAnsi="Times New Roman" w:eastAsia="仿宋_GB2312" w:cs="Times New Roman"/>
          <w:sz w:val="32"/>
          <w:szCs w:val="32"/>
          <w:highlight w:val="none"/>
          <w:lang w:eastAsia="zh-CN"/>
        </w:rPr>
        <w:t>免费向城乡居民提供基本公共卫生服务，促进基本公共卫生服务均等化。按照《国家基本公共卫生服务规范（第三版）》为城乡居民建立健康档案，开展健康教育、预防接种等服务，将0-6岁儿童、65岁以上老年人、孕产妇、原发性高血压和2型糖尿病患者、严重精神障碍患者、肺结核患者列为重点人群，提供针对性的健康管理服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基本药物制度结算补助资金：保证所有政府办基层医疗卫生机构实施国家基本药物制度，推进综合改革顺利进行。对实施国家基本药物制度的村卫生室给予补助，支持国家基本药物制度在村卫生室顺利实施。</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从业人员健康体检补助资金：完成202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年呈贡区创建卫生城市、文明城市等相关指标。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2023年严重精神障碍患者监护人“以奖代补”经费：促进严重精神障碍患者监护人切实履行监护责任，积极配合治疗并开展康复训练，妥善看护好居家患者，确保不因疏于救治管理而发生危害社会案（事）件发生。</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2023年区级财政预算新冠肺炎疫情防控经费：</w:t>
      </w:r>
      <w:r>
        <w:rPr>
          <w:rFonts w:hint="default" w:ascii="Times New Roman" w:hAnsi="Times New Roman" w:eastAsia="仿宋_GB2312" w:cs="Times New Roman"/>
          <w:sz w:val="32"/>
          <w:szCs w:val="32"/>
          <w:highlight w:val="none"/>
          <w:lang w:eastAsia="zh-CN"/>
        </w:rPr>
        <w:t>完成疫情防控工作任务，补足疫情防控经费资金缺口。</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2022年区级部分新冠肺炎疫情防控工作经费：</w:t>
      </w:r>
      <w:r>
        <w:rPr>
          <w:rFonts w:hint="default" w:ascii="Times New Roman" w:hAnsi="Times New Roman" w:eastAsia="仿宋_GB2312" w:cs="Times New Roman"/>
          <w:color w:val="000000"/>
          <w:sz w:val="32"/>
          <w:szCs w:val="32"/>
          <w:highlight w:val="none"/>
          <w:lang w:eastAsia="zh-CN"/>
        </w:rPr>
        <w:t>圆满完成呈贡区疫情防控工作任务，确保外防输出，内防反弹</w:t>
      </w:r>
      <w:r>
        <w:rPr>
          <w:rFonts w:hint="default" w:ascii="Times New Roman" w:hAnsi="Times New Roman" w:eastAsia="仿宋_GB2312" w:cs="Times New Roman"/>
          <w:sz w:val="32"/>
          <w:szCs w:val="32"/>
          <w:highlight w:val="none"/>
          <w:lang w:eastAsia="zh-CN"/>
        </w:rPr>
        <w:t>。</w:t>
      </w:r>
    </w:p>
    <w:p>
      <w:pPr>
        <w:pStyle w:val="5"/>
        <w:keepNext w:val="0"/>
        <w:keepLines w:val="0"/>
        <w:pageBreakBefore w:val="0"/>
        <w:widowControl/>
        <w:suppressLineNumbers w:val="0"/>
        <w:kinsoku/>
        <w:wordWrap/>
        <w:overflow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sz w:val="32"/>
          <w:szCs w:val="32"/>
          <w:highlight w:val="none"/>
          <w:lang w:eastAsia="zh-CN"/>
        </w:rPr>
        <w:t>新冠肺炎疫苗省级财政补助资金：</w:t>
      </w:r>
      <w:r>
        <w:rPr>
          <w:rFonts w:hint="default" w:ascii="Times New Roman" w:hAnsi="Times New Roman" w:eastAsia="仿宋_GB2312" w:cs="Times New Roman"/>
          <w:color w:val="000000"/>
          <w:kern w:val="0"/>
          <w:sz w:val="32"/>
          <w:szCs w:val="32"/>
          <w:highlight w:val="none"/>
          <w:lang w:val="en-US" w:eastAsia="zh-CN" w:bidi="ar"/>
        </w:rPr>
        <w:t>有力阻断病毒传播、巩固疫情防防控成果、</w:t>
      </w:r>
      <w:r>
        <w:rPr>
          <w:rFonts w:hint="default" w:ascii="Times New Roman" w:hAnsi="Times New Roman" w:eastAsia="仿宋_GB2312" w:cs="Times New Roman"/>
          <w:color w:val="000000"/>
          <w:sz w:val="32"/>
          <w:szCs w:val="32"/>
          <w:highlight w:val="none"/>
        </w:rPr>
        <w:t>果</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切实维护人民群众生命安全和身体健康。</w:t>
      </w:r>
    </w:p>
    <w:p>
      <w:pPr>
        <w:pStyle w:val="8"/>
        <w:keepNext w:val="0"/>
        <w:keepLines w:val="0"/>
        <w:pageBreakBefore w:val="0"/>
        <w:kinsoku/>
        <w:wordWrap/>
        <w:overflow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重大活动医疗保障经费：</w:t>
      </w:r>
      <w:r>
        <w:rPr>
          <w:rFonts w:hint="default" w:ascii="Times New Roman" w:hAnsi="Times New Roman" w:eastAsia="仿宋_GB2312" w:cs="Times New Roman"/>
          <w:sz w:val="32"/>
          <w:szCs w:val="32"/>
          <w:highlight w:val="none"/>
        </w:rPr>
        <w:t>预防突发公共卫生事件，保障区级各项活动（重要会议；重大赛事； 文体活动；展会、博览会、艺术节；节假日；老年人、残疾人、青 少年各项活动；各类考试等）顺利进行,配备救护车及医护人员和 医疗药品器械等物资，做好医疗保障工作。</w:t>
      </w:r>
    </w:p>
    <w:p>
      <w:pPr>
        <w:pStyle w:val="8"/>
        <w:keepNext w:val="0"/>
        <w:keepLines w:val="0"/>
        <w:pageBreakBefore w:val="0"/>
        <w:kinsoku/>
        <w:wordWrap/>
        <w:overflow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新冠病毒感染过渡期医务人员临时性工作补助资金：</w:t>
      </w:r>
      <w:r>
        <w:rPr>
          <w:rFonts w:hint="default" w:ascii="Times New Roman" w:hAnsi="Times New Roman" w:eastAsia="仿宋_GB2312" w:cs="Times New Roman"/>
          <w:color w:val="000000"/>
          <w:sz w:val="32"/>
          <w:szCs w:val="32"/>
          <w:highlight w:val="none"/>
          <w:lang w:val="en-US" w:eastAsia="zh-CN"/>
        </w:rPr>
        <w:t>根据《昆明市财政局关于预拨新冠病毒感染过渡期医务人员中央临时性工作补助资金的通知》（昆财社〔2023〕109号）有关要求。</w:t>
      </w:r>
      <w:r>
        <w:rPr>
          <w:rFonts w:hint="default" w:ascii="Times New Roman" w:hAnsi="Times New Roman" w:eastAsia="仿宋_GB2312" w:cs="Times New Roman"/>
          <w:sz w:val="32"/>
          <w:szCs w:val="32"/>
          <w:highlight w:val="none"/>
        </w:rPr>
        <w:t>2023年建档立卡贫困人口（已脱贫）家庭医生签约服务个人缴费区级补助资金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农村特困人员、农村易返贫致贫人口，突发严重困难户)家庭医生签约 服务费个人需缴纳的 12 元，由省、市、区财政按照《云南省医疗卫生领域财政事权和支出吉任划分改革实施方案》中明确的额比例承担</w:t>
      </w:r>
      <w:r>
        <w:rPr>
          <w:rFonts w:hint="default" w:ascii="Times New Roman" w:hAnsi="Times New Roman" w:eastAsia="仿宋_GB2312" w:cs="Times New Roman"/>
          <w:sz w:val="32"/>
          <w:szCs w:val="32"/>
          <w:highlight w:val="none"/>
          <w:lang w:eastAsia="zh-CN"/>
        </w:rPr>
        <w:t>。</w:t>
      </w:r>
    </w:p>
    <w:p>
      <w:pPr>
        <w:ind w:firstLine="612" w:firstLineChars="200"/>
        <w:rPr>
          <w:rFonts w:ascii="仿宋_GB2312"/>
          <w:b/>
          <w:szCs w:val="32"/>
          <w:highlight w:val="none"/>
        </w:rPr>
      </w:pPr>
      <w:r>
        <w:rPr>
          <w:rFonts w:hint="eastAsia" w:ascii="仿宋_GB2312"/>
          <w:b/>
          <w:szCs w:val="32"/>
          <w:highlight w:val="none"/>
        </w:rPr>
        <w:t>二、项目单位绩效报告情况。</w:t>
      </w:r>
    </w:p>
    <w:p>
      <w:pPr>
        <w:ind w:firstLine="612" w:firstLineChars="200"/>
        <w:rPr>
          <w:rFonts w:hint="default" w:ascii="Times New Roman" w:hAnsi="Times New Roman" w:eastAsia="仿宋_GB2312" w:cs="Times New Roman"/>
          <w:sz w:val="32"/>
          <w:szCs w:val="32"/>
          <w:highlight w:val="none"/>
        </w:rPr>
      </w:pPr>
      <w:r>
        <w:rPr>
          <w:rFonts w:hint="eastAsia" w:ascii="仿宋_GB2312"/>
          <w:b w:val="0"/>
          <w:bCs/>
          <w:szCs w:val="32"/>
          <w:highlight w:val="none"/>
        </w:rPr>
        <w:t>项目单位于20</w:t>
      </w:r>
      <w:r>
        <w:rPr>
          <w:rFonts w:hint="eastAsia" w:ascii="仿宋_GB2312"/>
          <w:b w:val="0"/>
          <w:bCs/>
          <w:szCs w:val="32"/>
          <w:highlight w:val="none"/>
          <w:lang w:val="en-US" w:eastAsia="zh-CN"/>
        </w:rPr>
        <w:t>24</w:t>
      </w:r>
      <w:r>
        <w:rPr>
          <w:rFonts w:hint="eastAsia" w:ascii="仿宋_GB2312"/>
          <w:b w:val="0"/>
          <w:bCs/>
          <w:szCs w:val="32"/>
          <w:highlight w:val="none"/>
        </w:rPr>
        <w:t>年</w:t>
      </w:r>
      <w:r>
        <w:rPr>
          <w:rFonts w:hint="eastAsia" w:ascii="仿宋_GB2312"/>
          <w:b w:val="0"/>
          <w:bCs/>
          <w:szCs w:val="32"/>
          <w:highlight w:val="none"/>
          <w:lang w:val="en-US" w:eastAsia="zh-CN"/>
        </w:rPr>
        <w:t>2</w:t>
      </w:r>
      <w:r>
        <w:rPr>
          <w:rFonts w:hint="eastAsia" w:ascii="仿宋_GB2312"/>
          <w:b w:val="0"/>
          <w:bCs/>
          <w:szCs w:val="32"/>
          <w:highlight w:val="none"/>
        </w:rPr>
        <w:t>月</w:t>
      </w:r>
      <w:r>
        <w:rPr>
          <w:rFonts w:hint="eastAsia" w:ascii="仿宋_GB2312"/>
          <w:b w:val="0"/>
          <w:bCs/>
          <w:szCs w:val="32"/>
          <w:highlight w:val="none"/>
          <w:lang w:val="en-US" w:eastAsia="zh-CN"/>
        </w:rPr>
        <w:t>20</w:t>
      </w:r>
      <w:r>
        <w:rPr>
          <w:rFonts w:hint="eastAsia" w:ascii="仿宋_GB2312"/>
          <w:b w:val="0"/>
          <w:bCs/>
          <w:szCs w:val="32"/>
          <w:highlight w:val="none"/>
        </w:rPr>
        <w:t>日完成了自评工作，自评报告内容、格式按要求撰写，对存在的问题、下步工作计划在自评报告中进行了表述，从自评结果来看达到了预期效果，项目单位按照要求开展和执行区域内公共卫生相关工作和任务，按要求完成各种指令性任务，按时报告相关情况。</w:t>
      </w:r>
    </w:p>
    <w:p>
      <w:pPr>
        <w:ind w:firstLine="612" w:firstLineChars="200"/>
        <w:rPr>
          <w:rFonts w:ascii="仿宋_GB2312"/>
          <w:b/>
          <w:szCs w:val="32"/>
          <w:highlight w:val="none"/>
        </w:rPr>
      </w:pPr>
      <w:r>
        <w:rPr>
          <w:rFonts w:hint="eastAsia" w:ascii="仿宋_GB2312"/>
          <w:b/>
          <w:szCs w:val="32"/>
          <w:highlight w:val="none"/>
        </w:rPr>
        <w:t>三、绩效评价工作情况</w:t>
      </w:r>
    </w:p>
    <w:p>
      <w:pPr>
        <w:ind w:firstLine="612" w:firstLineChars="200"/>
        <w:rPr>
          <w:rFonts w:hint="eastAsia" w:ascii="仿宋_GB2312"/>
          <w:szCs w:val="32"/>
          <w:highlight w:val="none"/>
        </w:rPr>
      </w:pPr>
      <w:r>
        <w:rPr>
          <w:rFonts w:hint="eastAsia" w:ascii="仿宋_GB2312"/>
          <w:szCs w:val="32"/>
          <w:highlight w:val="none"/>
        </w:rPr>
        <w:t>（一）绩效评价目的。</w:t>
      </w:r>
    </w:p>
    <w:p>
      <w:pPr>
        <w:ind w:firstLine="612" w:firstLineChars="200"/>
        <w:rPr>
          <w:rFonts w:hint="eastAsia" w:ascii="仿宋_GB2312"/>
          <w:szCs w:val="32"/>
          <w:highlight w:val="none"/>
        </w:rPr>
      </w:pPr>
      <w:r>
        <w:rPr>
          <w:rFonts w:hint="eastAsia" w:ascii="仿宋_GB2312"/>
          <w:szCs w:val="32"/>
          <w:highlight w:val="none"/>
        </w:rPr>
        <w:t>本次自评的目的是了解该项目</w:t>
      </w:r>
      <w:r>
        <w:rPr>
          <w:rFonts w:hint="eastAsia" w:ascii="仿宋_GB2312"/>
          <w:szCs w:val="32"/>
          <w:highlight w:val="none"/>
          <w:lang w:eastAsia="zh-CN"/>
        </w:rPr>
        <w:t>202</w:t>
      </w:r>
      <w:r>
        <w:rPr>
          <w:rFonts w:hint="eastAsia" w:ascii="仿宋_GB2312"/>
          <w:szCs w:val="32"/>
          <w:highlight w:val="none"/>
          <w:lang w:val="en-US" w:eastAsia="zh-CN"/>
        </w:rPr>
        <w:t>3</w:t>
      </w:r>
      <w:r>
        <w:rPr>
          <w:rFonts w:hint="eastAsia" w:ascii="仿宋_GB2312"/>
          <w:szCs w:val="32"/>
          <w:highlight w:val="none"/>
        </w:rPr>
        <w:t>年度财政资金预算支出的绩效状况，分析存在问题及原因，为今后预算安排提供决策支持。监督资金使用部门合理合规使用资金，保证资金专款专用，取得实效，建立“花钱必问效，无效必问责”的长效机制。</w:t>
      </w:r>
    </w:p>
    <w:p>
      <w:pPr>
        <w:ind w:firstLine="612" w:firstLineChars="200"/>
        <w:rPr>
          <w:rFonts w:hint="eastAsia" w:ascii="仿宋_GB2312"/>
          <w:szCs w:val="32"/>
          <w:highlight w:val="none"/>
        </w:rPr>
      </w:pPr>
      <w:r>
        <w:rPr>
          <w:rFonts w:hint="eastAsia" w:ascii="仿宋_GB2312"/>
          <w:szCs w:val="32"/>
          <w:highlight w:val="none"/>
        </w:rPr>
        <w:t>（二）绩效评价原则、评价指标体系、评价方法</w:t>
      </w:r>
    </w:p>
    <w:p>
      <w:pPr>
        <w:ind w:firstLine="612" w:firstLineChars="200"/>
        <w:rPr>
          <w:rFonts w:hint="eastAsia" w:ascii="仿宋_GB2312"/>
          <w:szCs w:val="32"/>
          <w:highlight w:val="none"/>
        </w:rPr>
      </w:pPr>
      <w:r>
        <w:rPr>
          <w:rFonts w:hint="eastAsia" w:ascii="仿宋_GB2312"/>
          <w:szCs w:val="32"/>
          <w:highlight w:val="none"/>
        </w:rPr>
        <w:t>根据《财政支出绩效评价管理暂行办法》遵循科学规范原则、公正公开原则、分级分类原则、相关性原则、重要性原则、可比性原则、系统性原则和经济性原则，采用因素分析法、比较法和公众评判法等基本评价方法对该项目实施真实、客观、公正独立的评价；评价指标体系包括项目立项、资金落实、业务管理、财务管理、项目产出和项目效益方面。</w:t>
      </w:r>
    </w:p>
    <w:p>
      <w:pPr>
        <w:ind w:firstLine="612" w:firstLineChars="200"/>
        <w:rPr>
          <w:rFonts w:hint="eastAsia" w:ascii="仿宋_GB2312"/>
          <w:szCs w:val="32"/>
          <w:highlight w:val="none"/>
        </w:rPr>
      </w:pPr>
      <w:r>
        <w:rPr>
          <w:rFonts w:hint="eastAsia" w:ascii="仿宋_GB2312"/>
          <w:szCs w:val="32"/>
          <w:highlight w:val="none"/>
        </w:rPr>
        <w:t>（三）绩效评价工作过程。</w:t>
      </w:r>
    </w:p>
    <w:p>
      <w:pPr>
        <w:ind w:firstLine="612" w:firstLineChars="200"/>
        <w:rPr>
          <w:rFonts w:hint="eastAsia" w:ascii="仿宋_GB2312"/>
          <w:szCs w:val="32"/>
          <w:highlight w:val="none"/>
        </w:rPr>
      </w:pPr>
      <w:r>
        <w:rPr>
          <w:rFonts w:hint="eastAsia" w:ascii="仿宋_GB2312"/>
          <w:szCs w:val="32"/>
          <w:highlight w:val="none"/>
        </w:rPr>
        <w:t>1.前期准备：印发学习了区财政局《关于对202</w:t>
      </w:r>
      <w:r>
        <w:rPr>
          <w:rFonts w:hint="eastAsia" w:ascii="仿宋_GB2312"/>
          <w:szCs w:val="32"/>
          <w:highlight w:val="none"/>
          <w:lang w:val="en-US" w:eastAsia="zh-CN"/>
        </w:rPr>
        <w:t>3</w:t>
      </w:r>
      <w:r>
        <w:rPr>
          <w:rFonts w:hint="eastAsia" w:ascii="仿宋_GB2312"/>
          <w:szCs w:val="32"/>
          <w:highlight w:val="none"/>
        </w:rPr>
        <w:t>年度预算支出开展绩效自评工作的通知》，相关单位和科室传达学习了预算支出绩效评价的工作要求，了解项目基本情况，确定项目绩效评价工作程序，制定工作方案。</w:t>
      </w:r>
    </w:p>
    <w:p>
      <w:pPr>
        <w:ind w:firstLine="612" w:firstLineChars="200"/>
        <w:rPr>
          <w:rFonts w:hint="eastAsia" w:ascii="仿宋_GB2312"/>
          <w:szCs w:val="32"/>
          <w:highlight w:val="none"/>
        </w:rPr>
      </w:pPr>
      <w:r>
        <w:rPr>
          <w:rFonts w:hint="eastAsia" w:ascii="仿宋_GB2312"/>
          <w:szCs w:val="32"/>
          <w:highlight w:val="none"/>
        </w:rPr>
        <w:t>2.组织实施：为使绩效评价工作顺利开展，成立了以局长为组长、副局长为副组长、各单位科室负责人为成员的预算绩效管理工作领导小组，负责绩效评价的组织管理和实施工作，填制基础表格、收集资料、汇总数据，按照年初上级部门下达的工作目标，结合部门预算支出情况进行绩效评价并撰写绩效评价报告。</w:t>
      </w:r>
    </w:p>
    <w:p>
      <w:pPr>
        <w:ind w:firstLine="612" w:firstLineChars="200"/>
        <w:rPr>
          <w:rFonts w:hint="default" w:ascii="Times New Roman" w:hAnsi="Times New Roman" w:eastAsia="仿宋_GB2312" w:cs="Times New Roman"/>
          <w:sz w:val="32"/>
          <w:szCs w:val="32"/>
          <w:highlight w:val="none"/>
          <w:lang w:val="en-US" w:eastAsia="zh-CN"/>
        </w:rPr>
      </w:pPr>
      <w:r>
        <w:rPr>
          <w:rFonts w:hint="eastAsia" w:ascii="仿宋_GB2312"/>
          <w:szCs w:val="32"/>
          <w:highlight w:val="none"/>
        </w:rPr>
        <w:t>3.分析评价：对项目单位提供的自评报告、项目资料进行核实、分析、复查，根据绩效评价对象的特点采用现场评价和非现场评价相结合的方法对绩效目标完成情况进行评价，运用相关绩效评价方法对绩效完成情况进行综合分析、打分、形成评价结论。</w:t>
      </w:r>
    </w:p>
    <w:p>
      <w:pPr>
        <w:ind w:firstLine="612" w:firstLineChars="200"/>
        <w:rPr>
          <w:rFonts w:hint="eastAsia" w:ascii="仿宋_GB2312"/>
          <w:szCs w:val="32"/>
          <w:highlight w:val="none"/>
        </w:rPr>
      </w:pPr>
      <w:r>
        <w:rPr>
          <w:rFonts w:hint="eastAsia" w:ascii="仿宋_GB2312"/>
          <w:b/>
          <w:szCs w:val="32"/>
          <w:highlight w:val="none"/>
        </w:rPr>
        <w:t>四、绩效评价指标分析情况</w:t>
      </w:r>
    </w:p>
    <w:p>
      <w:pPr>
        <w:pStyle w:val="8"/>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eastAsia" w:ascii="仿宋_GB2312"/>
          <w:szCs w:val="32"/>
          <w:highlight w:val="none"/>
        </w:rPr>
      </w:pPr>
      <w:r>
        <w:rPr>
          <w:rFonts w:hint="eastAsia" w:ascii="仿宋_GB2312"/>
          <w:szCs w:val="32"/>
          <w:highlight w:val="none"/>
        </w:rPr>
        <w:t>（一）项目资金情况分析。</w:t>
      </w:r>
    </w:p>
    <w:p>
      <w:pPr>
        <w:pStyle w:val="8"/>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szCs w:val="32"/>
          <w:highlight w:val="none"/>
          <w:lang w:eastAsia="zh-CN"/>
        </w:rPr>
        <w:t>本次项目包含财政资金及其自有资金，</w:t>
      </w:r>
      <w:r>
        <w:rPr>
          <w:rFonts w:hint="eastAsia" w:ascii="仿宋_GB2312"/>
          <w:szCs w:val="32"/>
          <w:highlight w:val="none"/>
          <w:lang w:val="en-US" w:eastAsia="zh-CN"/>
        </w:rPr>
        <w:t>2023年资金支出3071028.38元，其中财政拨款2835846.10元，非财政拨款235182.28元，具体如下：</w:t>
      </w:r>
    </w:p>
    <w:p>
      <w:pPr>
        <w:keepNext w:val="0"/>
        <w:keepLines w:val="0"/>
        <w:pageBreakBefore w:val="0"/>
        <w:widowControl w:val="0"/>
        <w:kinsoku/>
        <w:wordWrap/>
        <w:overflowPunct/>
        <w:topLinePunct w:val="0"/>
        <w:autoSpaceDE/>
        <w:autoSpaceDN/>
        <w:bidi w:val="0"/>
        <w:adjustRightInd/>
        <w:snapToGrid/>
        <w:ind w:firstLine="612" w:firstLineChars="200"/>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（1）易小玲专家基层工作站补助经费4400.00元：主要用于发放易小玲专家基层工作站劳务费。</w:t>
      </w:r>
    </w:p>
    <w:p>
      <w:pPr>
        <w:keepNext w:val="0"/>
        <w:keepLines w:val="0"/>
        <w:pageBreakBefore w:val="0"/>
        <w:widowControl w:val="0"/>
        <w:kinsoku/>
        <w:wordWrap/>
        <w:overflowPunct/>
        <w:topLinePunct w:val="0"/>
        <w:autoSpaceDE/>
        <w:autoSpaceDN/>
        <w:bidi w:val="0"/>
        <w:adjustRightInd/>
        <w:snapToGrid/>
        <w:ind w:firstLine="612" w:firstLineChars="200"/>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（2）严重精神障碍患者监护人“以奖代补”补助资金51840.00元：主要用于发放给严重精神障碍患者监护人作为“以奖代补”补助。</w:t>
      </w:r>
    </w:p>
    <w:p>
      <w:pPr>
        <w:keepNext w:val="0"/>
        <w:keepLines w:val="0"/>
        <w:pageBreakBefore w:val="0"/>
        <w:widowControl w:val="0"/>
        <w:kinsoku/>
        <w:wordWrap/>
        <w:overflowPunct/>
        <w:topLinePunct w:val="0"/>
        <w:autoSpaceDE/>
        <w:autoSpaceDN/>
        <w:bidi w:val="0"/>
        <w:adjustRightInd/>
        <w:snapToGrid/>
        <w:ind w:firstLine="612" w:firstLineChars="200"/>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（3）2023年重大活动医疗保障经费3980.00元：主要用于支付救护车的维修维护费、医疗保障活动用耗材的采购。</w:t>
      </w:r>
    </w:p>
    <w:p>
      <w:pPr>
        <w:keepNext w:val="0"/>
        <w:keepLines w:val="0"/>
        <w:pageBreakBefore w:val="0"/>
        <w:widowControl w:val="0"/>
        <w:kinsoku/>
        <w:wordWrap/>
        <w:overflowPunct/>
        <w:topLinePunct w:val="0"/>
        <w:autoSpaceDE/>
        <w:autoSpaceDN/>
        <w:bidi w:val="0"/>
        <w:adjustRightInd/>
        <w:snapToGrid/>
        <w:ind w:firstLine="612" w:firstLineChars="200"/>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（4）自有资金支出项目经费230352.28元：主要用于日常医疗活动中的办公费、水电费、差旅费、维修维护费、药品采购费、医用试剂耗材费、劳务费、委托业务费等相关支出。</w:t>
      </w:r>
    </w:p>
    <w:p>
      <w:pPr>
        <w:keepNext w:val="0"/>
        <w:keepLines w:val="0"/>
        <w:pageBreakBefore w:val="0"/>
        <w:widowControl w:val="0"/>
        <w:kinsoku/>
        <w:wordWrap/>
        <w:overflowPunct/>
        <w:topLinePunct w:val="0"/>
        <w:autoSpaceDE/>
        <w:autoSpaceDN/>
        <w:bidi w:val="0"/>
        <w:adjustRightInd/>
        <w:snapToGrid/>
        <w:ind w:firstLine="612" w:firstLineChars="200"/>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（5）基本药物制度补助资金327479.08元：主要用于单位医疗活动中产生的办公费、维修维护费、劳务费、委托业务费等支出。</w:t>
      </w:r>
    </w:p>
    <w:p>
      <w:pPr>
        <w:keepNext w:val="0"/>
        <w:keepLines w:val="0"/>
        <w:pageBreakBefore w:val="0"/>
        <w:widowControl w:val="0"/>
        <w:kinsoku/>
        <w:wordWrap/>
        <w:overflowPunct/>
        <w:topLinePunct w:val="0"/>
        <w:autoSpaceDE/>
        <w:autoSpaceDN/>
        <w:bidi w:val="0"/>
        <w:adjustRightInd/>
        <w:snapToGrid/>
        <w:ind w:firstLine="612" w:firstLineChars="200"/>
        <w:textAlignment w:val="auto"/>
        <w:outlineLvl w:val="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（6）2023年建档立卡贫困人口（已脱贫）家庭医生签约服务个人缴费区级补助资金950.00元：主要用于兑现2023年建档立卡贫困人口（已脱贫）家庭医生签约服务工作补助。</w:t>
      </w:r>
    </w:p>
    <w:p>
      <w:pPr>
        <w:keepNext w:val="0"/>
        <w:keepLines w:val="0"/>
        <w:pageBreakBefore w:val="0"/>
        <w:widowControl w:val="0"/>
        <w:kinsoku/>
        <w:wordWrap/>
        <w:overflowPunct/>
        <w:topLinePunct w:val="0"/>
        <w:autoSpaceDE/>
        <w:autoSpaceDN/>
        <w:bidi w:val="0"/>
        <w:adjustRightInd/>
        <w:snapToGrid/>
        <w:ind w:firstLine="612" w:firstLineChars="200"/>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基本公共卫生服务项目补助资金1197039.72元：主要用于基本公共卫生服务项目工作中产生的办公费、水电费、试剂耗材、劳务费、委托业务费等相关支出。</w:t>
      </w:r>
    </w:p>
    <w:p>
      <w:pPr>
        <w:keepNext w:val="0"/>
        <w:keepLines w:val="0"/>
        <w:pageBreakBefore w:val="0"/>
        <w:widowControl w:val="0"/>
        <w:kinsoku/>
        <w:wordWrap/>
        <w:overflowPunct/>
        <w:topLinePunct w:val="0"/>
        <w:autoSpaceDE/>
        <w:autoSpaceDN/>
        <w:bidi w:val="0"/>
        <w:adjustRightInd/>
        <w:snapToGrid/>
        <w:ind w:firstLine="612" w:firstLineChars="200"/>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CN"/>
        </w:rPr>
        <w:t>新冠肺炎疫苗省级财政补助资金1838.34元：主要用于新冠肺炎疫苗接种工作中产生的印刷费。</w:t>
      </w:r>
    </w:p>
    <w:p>
      <w:pPr>
        <w:keepNext w:val="0"/>
        <w:keepLines w:val="0"/>
        <w:pageBreakBefore w:val="0"/>
        <w:widowControl w:val="0"/>
        <w:kinsoku/>
        <w:wordWrap/>
        <w:overflowPunct/>
        <w:topLinePunct w:val="0"/>
        <w:autoSpaceDE/>
        <w:autoSpaceDN/>
        <w:bidi w:val="0"/>
        <w:adjustRightInd/>
        <w:snapToGrid/>
        <w:ind w:firstLine="612" w:firstLineChars="200"/>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突发公共卫生事件应急处理项目经费763148.96元（其中从业人员健康体检经费165548.90元：主要用于从业人员健康体检工作中产生的办公费、印刷费、电费、试剂耗材费、劳务费、办公设备购置等支出；新冠病毒感染过渡期医务人员临时性工作补助资金12826.00元：主要用于发放新冠病毒感染过渡期医务人员临时性工作补助；部分新冠疫情防控经费584774.06元：主要用于新冠疫情防控工作中产生的办公费、印刷费、防控物资采购费、劳务费、委托业务费等支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both"/>
        <w:textAlignment w:val="auto"/>
        <w:rPr>
          <w:rFonts w:hint="eastAsia" w:ascii="仿宋_GB2312" w:hAnsi="仿宋_GB2312" w:eastAsia="仿宋_GB2312" w:cs="仿宋_GB2312"/>
          <w:color w:val="0000FF"/>
          <w:spacing w:val="6"/>
          <w:sz w:val="32"/>
          <w:szCs w:val="32"/>
          <w:highlight w:val="none"/>
        </w:rPr>
      </w:pPr>
      <w:r>
        <w:rPr>
          <w:rFonts w:hint="eastAsia" w:ascii="仿宋_GB2312"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2023年从业人员健康体检经费490000.00元：主要用于从业人员健康体检工作中产生的办公费、电费、试剂耗材费、劳务费等支出。</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eastAsia="zh-CN"/>
        </w:rPr>
        <w:t>（二）</w:t>
      </w:r>
      <w:r>
        <w:rPr>
          <w:rFonts w:hint="eastAsia" w:ascii="仿宋_GB2312" w:hAnsi="仿宋_GB2312" w:eastAsia="仿宋_GB2312" w:cs="仿宋_GB2312"/>
          <w:sz w:val="32"/>
          <w:szCs w:val="32"/>
          <w:highlight w:val="none"/>
          <w:lang w:eastAsia="zh-CN"/>
        </w:rPr>
        <w:t>项目实施情况</w:t>
      </w:r>
      <w:r>
        <w:rPr>
          <w:rFonts w:hint="eastAsia" w:ascii="仿宋_GB2312" w:hAnsi="仿宋_GB2312" w:cs="仿宋_GB2312"/>
          <w:sz w:val="32"/>
          <w:szCs w:val="32"/>
          <w:highlight w:val="none"/>
          <w:lang w:eastAsia="zh-CN"/>
        </w:rPr>
        <w:t>分析</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区卫健局成立呈贡区卫健系统预算绩效管理工作领导小组，制定预算绩效管理方案印发各下属单位，中心预算绩效管理工作领导小组收集各业务部门202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年工作目标完成情况后，按照预算绩效管理方案中的指标评分表对部门整体支出绩效开展自评， 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年度部门整体支出绩效自评分为9</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分，自评完成后将自评工作材料上报呈贡区卫健局汇总。</w:t>
      </w:r>
    </w:p>
    <w:p>
      <w:pPr>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color w:val="auto"/>
          <w:sz w:val="32"/>
          <w:szCs w:val="32"/>
          <w:highlight w:val="none"/>
        </w:rPr>
        <w:t>对各项基卫项目的管理有</w:t>
      </w:r>
      <w:r>
        <w:rPr>
          <w:rFonts w:hint="eastAsia" w:ascii="仿宋_GB2312" w:hAnsi="仿宋_GB2312" w:eastAsia="仿宋_GB2312" w:cs="仿宋_GB2312"/>
          <w:bCs/>
          <w:color w:val="auto"/>
          <w:sz w:val="32"/>
          <w:szCs w:val="32"/>
          <w:highlight w:val="none"/>
          <w:lang w:val="en-US" w:eastAsia="zh-CN"/>
        </w:rPr>
        <w:t>专</w:t>
      </w:r>
      <w:r>
        <w:rPr>
          <w:rFonts w:hint="eastAsia" w:ascii="仿宋_GB2312" w:hAnsi="仿宋_GB2312" w:eastAsia="仿宋_GB2312" w:cs="仿宋_GB2312"/>
          <w:bCs/>
          <w:color w:val="auto"/>
          <w:sz w:val="32"/>
          <w:szCs w:val="32"/>
          <w:highlight w:val="none"/>
        </w:rPr>
        <w:t>人负责，并且责任明确。根据上级项目管理相关要求，结合单位实际制定本单位项目管理制度、考核制度、项目资金管理制度。辖区项目网格健全，并正常运行，覆盖率达100%</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3"/>
        </w:numPr>
        <w:kinsoku/>
        <w:wordWrap/>
        <w:overflowPunct/>
        <w:topLinePunct/>
        <w:autoSpaceDE/>
        <w:autoSpaceDN/>
        <w:bidi w:val="0"/>
        <w:adjustRightInd/>
        <w:snapToGrid/>
        <w:spacing w:line="560" w:lineRule="exact"/>
        <w:ind w:left="0" w:firstLine="612" w:firstLineChars="200"/>
        <w:jc w:val="both"/>
        <w:textAlignment w:val="auto"/>
        <w:rPr>
          <w:rFonts w:hint="eastAsia" w:ascii="仿宋_GB2312"/>
          <w:szCs w:val="32"/>
          <w:highlight w:val="none"/>
        </w:rPr>
      </w:pPr>
      <w:r>
        <w:rPr>
          <w:rFonts w:hint="eastAsia" w:ascii="仿宋_GB2312"/>
          <w:szCs w:val="32"/>
          <w:highlight w:val="none"/>
        </w:rPr>
        <w:t>项目绩效情况分析。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1.</w:t>
      </w:r>
      <w:r>
        <w:rPr>
          <w:rFonts w:hint="eastAsia" w:ascii="仿宋_GB2312"/>
          <w:szCs w:val="32"/>
          <w:highlight w:val="none"/>
        </w:rPr>
        <w:t>项目经济性分析。</w:t>
      </w:r>
      <w:r>
        <w:rPr>
          <w:rFonts w:hint="eastAsia" w:ascii="仿宋_GB2312" w:hAnsi="仿宋_GB2312" w:eastAsia="仿宋_GB2312" w:cs="仿宋_GB2312"/>
          <w:sz w:val="32"/>
          <w:szCs w:val="32"/>
          <w:highlight w:val="none"/>
        </w:rPr>
        <w:t>中心严格按照财政拨款预算批复文件，在预算执行过程中，节约不必要的预算支出，严格控制人员及公用经费开支，未出现决算数大于调整预算数的情况。</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2.</w:t>
      </w:r>
      <w:r>
        <w:rPr>
          <w:rFonts w:hint="eastAsia" w:ascii="仿宋_GB2312"/>
          <w:szCs w:val="32"/>
          <w:highlight w:val="none"/>
        </w:rPr>
        <w:t>项目的效率性分析。</w:t>
      </w:r>
      <w:r>
        <w:rPr>
          <w:rFonts w:hint="eastAsia" w:ascii="仿宋_GB2312" w:hAnsi="仿宋_GB2312" w:eastAsia="仿宋_GB2312" w:cs="仿宋_GB2312"/>
          <w:sz w:val="32"/>
          <w:szCs w:val="32"/>
          <w:highlight w:val="none"/>
        </w:rPr>
        <w:t>中心均按照规定的预算执行进度按质按量执行预算，每个季度通报的各预算单位预算执行进度均达到时序要求，确保开展医疗卫生事务的人员及公用经费开支。</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3.</w:t>
      </w:r>
      <w:r>
        <w:rPr>
          <w:rFonts w:hint="eastAsia" w:ascii="仿宋_GB2312"/>
          <w:szCs w:val="32"/>
          <w:highlight w:val="none"/>
        </w:rPr>
        <w:t>项目的效益性分析。</w:t>
      </w:r>
      <w:r>
        <w:rPr>
          <w:rFonts w:hint="eastAsia" w:ascii="仿宋_GB2312" w:hAnsi="仿宋_GB2312" w:eastAsia="仿宋_GB2312" w:cs="仿宋_GB2312"/>
          <w:sz w:val="32"/>
          <w:szCs w:val="32"/>
          <w:highlight w:val="none"/>
        </w:rPr>
        <w:t>通过基层公共卫生服务项目工作的推进，进一步明确</w:t>
      </w:r>
      <w:r>
        <w:rPr>
          <w:rFonts w:hint="eastAsia" w:ascii="仿宋_GB2312" w:hAnsi="仿宋_GB2312" w:eastAsia="仿宋_GB2312" w:cs="仿宋_GB2312"/>
          <w:sz w:val="32"/>
          <w:szCs w:val="32"/>
          <w:highlight w:val="none"/>
          <w:lang w:val="en-US" w:eastAsia="zh-CN"/>
        </w:rPr>
        <w:t>我中心</w:t>
      </w:r>
      <w:r>
        <w:rPr>
          <w:rFonts w:hint="eastAsia" w:ascii="仿宋_GB2312" w:hAnsi="仿宋_GB2312" w:eastAsia="仿宋_GB2312" w:cs="仿宋_GB2312"/>
          <w:sz w:val="32"/>
          <w:szCs w:val="32"/>
          <w:highlight w:val="none"/>
        </w:rPr>
        <w:t>公共卫生服务职能为主的职能定位。</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积极转变观念，从以前的等病人，到主动走出院门，走进社区，为社区群众提供免费公共卫生服务。通过项目的实施，对</w:t>
      </w:r>
      <w:r>
        <w:rPr>
          <w:rFonts w:hint="eastAsia" w:ascii="仿宋_GB2312" w:hAnsi="仿宋_GB2312" w:eastAsia="仿宋_GB2312" w:cs="仿宋_GB2312"/>
          <w:sz w:val="32"/>
          <w:szCs w:val="32"/>
          <w:highlight w:val="none"/>
          <w:lang w:val="en-US" w:eastAsia="zh-CN"/>
        </w:rPr>
        <w:t>辖区</w:t>
      </w:r>
      <w:r>
        <w:rPr>
          <w:rFonts w:hint="eastAsia" w:ascii="仿宋_GB2312" w:hAnsi="仿宋_GB2312" w:eastAsia="仿宋_GB2312" w:cs="仿宋_GB2312"/>
          <w:sz w:val="32"/>
          <w:szCs w:val="32"/>
          <w:highlight w:val="none"/>
        </w:rPr>
        <w:t>居民健康问题实施干预，减少主要健康危害因素，有效预防和控制传染病及慢性非传染性疾病，加强突发公共卫生事件应急机制建设，提高公共卫生服务和突发公共卫生事件应急处置能力，城乡居民逐步获得均等化的基本公共卫生服务，主要健康危险因素得到有效控制，提升了辖区居民的健康素养水平和就医感受，</w:t>
      </w:r>
      <w:r>
        <w:rPr>
          <w:rFonts w:hint="eastAsia" w:ascii="仿宋_GB2312" w:hAnsi="仿宋_GB2312" w:eastAsia="仿宋_GB2312" w:cs="仿宋_GB2312"/>
          <w:color w:val="auto"/>
          <w:sz w:val="32"/>
          <w:szCs w:val="32"/>
          <w:highlight w:val="none"/>
        </w:rPr>
        <w:t>居民通过基层卫生服务机构能够获得安全、有效、经济、方便、综合、连续的公共卫生和基本医疗服务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得到了居民的认可。</w:t>
      </w:r>
    </w:p>
    <w:p>
      <w:pPr>
        <w:ind w:firstLine="612" w:firstLineChars="200"/>
        <w:outlineLvl w:val="0"/>
        <w:rPr>
          <w:rFonts w:hint="eastAsia" w:ascii="仿宋_GB2312"/>
          <w:b/>
          <w:szCs w:val="32"/>
          <w:highlight w:val="none"/>
        </w:rPr>
      </w:pPr>
      <w:r>
        <w:rPr>
          <w:rFonts w:hint="eastAsia" w:ascii="仿宋_GB2312"/>
          <w:b/>
          <w:szCs w:val="32"/>
          <w:highlight w:val="none"/>
        </w:rPr>
        <w:t>五、综合评价情况及评价结论</w:t>
      </w:r>
      <w:r>
        <w:rPr>
          <w:rFonts w:hint="eastAsia" w:ascii="仿宋_GB2312"/>
          <w:bCs/>
          <w:szCs w:val="32"/>
          <w:highlight w:val="none"/>
        </w:rPr>
        <w:t>（附相关评分表）</w:t>
      </w:r>
      <w:r>
        <w:rPr>
          <w:rFonts w:hint="eastAsia" w:ascii="仿宋_GB2312"/>
          <w:b/>
          <w:szCs w:val="32"/>
          <w:highlight w:val="none"/>
        </w:rPr>
        <w:t>。</w:t>
      </w:r>
    </w:p>
    <w:p>
      <w:pPr>
        <w:ind w:firstLine="612" w:firstLineChars="200"/>
        <w:outlineLvl w:val="0"/>
        <w:rPr>
          <w:rFonts w:ascii="仿宋_GB2312"/>
          <w:b/>
          <w:szCs w:val="32"/>
          <w:highlight w:val="none"/>
        </w:rPr>
      </w:pPr>
      <w:r>
        <w:rPr>
          <w:rFonts w:hint="eastAsia" w:ascii="仿宋_GB2312"/>
          <w:szCs w:val="32"/>
          <w:highlight w:val="none"/>
        </w:rPr>
        <w:t>经对项目决策、项目管理、资金管理、任务完成情况、综合效益情况进行绩效评价，综合得分</w:t>
      </w:r>
      <w:r>
        <w:rPr>
          <w:rFonts w:hint="eastAsia" w:ascii="仿宋_GB2312"/>
          <w:szCs w:val="32"/>
          <w:highlight w:val="none"/>
          <w:shd w:val="clear" w:color="auto" w:fill="auto"/>
        </w:rPr>
        <w:t>为</w:t>
      </w:r>
      <w:r>
        <w:rPr>
          <w:rFonts w:hint="eastAsia" w:ascii="仿宋_GB2312"/>
          <w:szCs w:val="32"/>
          <w:highlight w:val="none"/>
          <w:shd w:val="clear" w:color="auto" w:fill="auto"/>
          <w:lang w:val="en-US" w:eastAsia="zh-CN"/>
        </w:rPr>
        <w:t>93</w:t>
      </w:r>
      <w:r>
        <w:rPr>
          <w:rFonts w:hint="eastAsia" w:ascii="仿宋_GB2312"/>
          <w:szCs w:val="32"/>
          <w:highlight w:val="none"/>
          <w:shd w:val="clear" w:color="auto" w:fill="auto"/>
        </w:rPr>
        <w:t>分</w:t>
      </w:r>
      <w:r>
        <w:rPr>
          <w:rFonts w:hint="eastAsia" w:ascii="仿宋_GB2312"/>
          <w:szCs w:val="32"/>
          <w:highlight w:val="none"/>
        </w:rPr>
        <w:t>，评价等级为优秀。</w:t>
      </w:r>
    </w:p>
    <w:p>
      <w:pPr>
        <w:numPr>
          <w:ilvl w:val="0"/>
          <w:numId w:val="4"/>
        </w:numPr>
        <w:ind w:firstLine="612" w:firstLineChars="200"/>
        <w:rPr>
          <w:rFonts w:hint="eastAsia" w:ascii="仿宋_GB2312"/>
          <w:b/>
          <w:szCs w:val="32"/>
          <w:highlight w:val="none"/>
        </w:rPr>
      </w:pPr>
      <w:r>
        <w:rPr>
          <w:rFonts w:hint="eastAsia" w:ascii="仿宋_GB2312"/>
          <w:b/>
          <w:szCs w:val="32"/>
          <w:highlight w:val="none"/>
        </w:rPr>
        <w:t>绩效评价结果应用建议</w:t>
      </w:r>
    </w:p>
    <w:p>
      <w:pPr>
        <w:numPr>
          <w:ilvl w:val="0"/>
          <w:numId w:val="0"/>
        </w:numPr>
        <w:ind w:firstLine="612" w:firstLineChars="200"/>
        <w:rPr>
          <w:rFonts w:hint="eastAsia" w:ascii="仿宋_GB2312" w:hAnsi="仿宋_GB2312" w:eastAsia="仿宋_GB2312" w:cs="仿宋_GB2312"/>
          <w:sz w:val="32"/>
          <w:szCs w:val="32"/>
          <w:highlight w:val="none"/>
        </w:rPr>
      </w:pPr>
      <w:r>
        <w:rPr>
          <w:rFonts w:hint="eastAsia" w:ascii="仿宋_GB2312"/>
          <w:szCs w:val="32"/>
          <w:highlight w:val="none"/>
        </w:rPr>
        <w:t>建议在政府网站等信息平台公布绩效评价结果，让公众知晓财政的项目资金使用情况及效果，激发公众的参政、议政热情，从而积极献计献策、监督政府职能部门的各项工作。</w:t>
      </w:r>
    </w:p>
    <w:p>
      <w:pPr>
        <w:ind w:firstLine="612" w:firstLineChars="200"/>
        <w:rPr>
          <w:rFonts w:ascii="仿宋_GB2312"/>
          <w:b/>
          <w:szCs w:val="32"/>
          <w:highlight w:val="none"/>
        </w:rPr>
      </w:pPr>
      <w:r>
        <w:rPr>
          <w:rFonts w:hint="eastAsia" w:ascii="仿宋_GB2312"/>
          <w:b/>
          <w:szCs w:val="32"/>
          <w:highlight w:val="none"/>
        </w:rPr>
        <w:t>七、主要经验及做法、存在的问题和建议。</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eastAsia="zh-CN"/>
        </w:rPr>
        <w:t>存在的问题：</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（一）专项管理方面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专项立项依据充分</w:t>
      </w:r>
      <w:r>
        <w:rPr>
          <w:rFonts w:hint="eastAsia" w:ascii="仿宋_GB2312" w:hAnsi="仿宋_GB2312" w:eastAsia="仿宋_GB2312" w:cs="仿宋_GB2312"/>
          <w:sz w:val="32"/>
          <w:szCs w:val="32"/>
          <w:highlight w:val="none"/>
          <w:lang w:eastAsia="zh-CN"/>
        </w:rPr>
        <w:t>，严格执行</w:t>
      </w:r>
      <w:r>
        <w:rPr>
          <w:rFonts w:hint="eastAsia" w:ascii="仿宋_GB2312" w:hAnsi="仿宋_GB2312" w:eastAsia="仿宋_GB2312" w:cs="仿宋_GB2312"/>
          <w:sz w:val="32"/>
          <w:szCs w:val="32"/>
          <w:highlight w:val="none"/>
        </w:rPr>
        <w:t>资金管理办法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资金分配方面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w:t>
      </w:r>
      <w:r>
        <w:rPr>
          <w:rFonts w:hint="eastAsia" w:ascii="仿宋_GB2312" w:hAnsi="仿宋_GB2312" w:eastAsia="仿宋_GB2312" w:cs="仿宋_GB2312"/>
          <w:sz w:val="32"/>
          <w:szCs w:val="32"/>
          <w:highlight w:val="none"/>
          <w:lang w:eastAsia="zh-CN"/>
        </w:rPr>
        <w:t>比较</w:t>
      </w:r>
      <w:r>
        <w:rPr>
          <w:rFonts w:hint="eastAsia" w:ascii="仿宋_GB2312" w:hAnsi="仿宋_GB2312" w:eastAsia="仿宋_GB2312" w:cs="仿宋_GB2312"/>
          <w:sz w:val="32"/>
          <w:szCs w:val="32"/>
          <w:highlight w:val="none"/>
        </w:rPr>
        <w:t>合理，突出重点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公平公正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无散小差现象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资金分配和使用方向与资金管理办法相符。</w:t>
      </w:r>
    </w:p>
    <w:p>
      <w:pPr>
        <w:keepNext w:val="0"/>
        <w:keepLines w:val="0"/>
        <w:pageBreakBefore w:val="0"/>
        <w:widowControl w:val="0"/>
        <w:kinsoku/>
        <w:wordWrap/>
        <w:overflowPunct/>
        <w:topLinePunct/>
        <w:autoSpaceDE/>
        <w:autoSpaceDN/>
        <w:bidi w:val="0"/>
        <w:adjustRightInd/>
        <w:snapToGrid/>
        <w:spacing w:line="560" w:lineRule="exact"/>
        <w:ind w:left="0" w:leftChars="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资金拨付方面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拨付</w:t>
      </w:r>
      <w:r>
        <w:rPr>
          <w:rFonts w:hint="eastAsia" w:ascii="仿宋_GB2312" w:hAnsi="仿宋_GB2312" w:eastAsia="仿宋_GB2312" w:cs="仿宋_GB2312"/>
          <w:sz w:val="32"/>
          <w:szCs w:val="32"/>
          <w:highlight w:val="none"/>
          <w:lang w:eastAsia="zh-CN"/>
        </w:rPr>
        <w:t>有时存在候滞后情况，但</w:t>
      </w:r>
      <w:r>
        <w:rPr>
          <w:rFonts w:hint="eastAsia" w:ascii="仿宋_GB2312" w:hAnsi="仿宋_GB2312" w:eastAsia="仿宋_GB2312" w:cs="仿宋_GB2312"/>
          <w:sz w:val="32"/>
          <w:szCs w:val="32"/>
          <w:highlight w:val="none"/>
        </w:rPr>
        <w:t>无滞留、闲置等现象。</w:t>
      </w:r>
    </w:p>
    <w:p>
      <w:pPr>
        <w:keepNext w:val="0"/>
        <w:keepLines w:val="0"/>
        <w:pageBreakBefore w:val="0"/>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资金使用方面。资金使用合规，无截留、挪用等现象，资金使用产生</w:t>
      </w:r>
      <w:r>
        <w:rPr>
          <w:rFonts w:hint="eastAsia" w:ascii="仿宋_GB2312" w:hAnsi="仿宋_GB2312" w:eastAsia="仿宋_GB2312" w:cs="仿宋_GB2312"/>
          <w:sz w:val="32"/>
          <w:szCs w:val="32"/>
          <w:highlight w:val="none"/>
          <w:lang w:eastAsia="zh-CN"/>
        </w:rPr>
        <w:t>了一定</w:t>
      </w:r>
      <w:r>
        <w:rPr>
          <w:rFonts w:hint="eastAsia" w:ascii="仿宋_GB2312" w:hAnsi="仿宋_GB2312" w:eastAsia="仿宋_GB2312" w:cs="仿宋_GB2312"/>
          <w:sz w:val="32"/>
          <w:szCs w:val="32"/>
          <w:highlight w:val="none"/>
        </w:rPr>
        <w:t>效益</w:t>
      </w:r>
      <w:r>
        <w:rPr>
          <w:rFonts w:hint="eastAsia" w:ascii="仿宋_GB2312" w:hAnsi="仿宋_GB2312" w:eastAsia="仿宋_GB2312" w:cs="仿宋_GB2312"/>
          <w:sz w:val="32"/>
          <w:szCs w:val="32"/>
          <w:highlight w:val="none"/>
          <w:lang w:eastAsia="zh-CN"/>
        </w:rPr>
        <w:t>，实现了基本公共卫生服务均等化，群众受益的覆盖面有所增加、服务质量进一步提高</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主要经验做法、改进措施和有关建议</w:t>
      </w:r>
      <w:r>
        <w:rPr>
          <w:rFonts w:hint="eastAsia" w:ascii="仿宋_GB2312" w:hAnsi="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现状和《全国医疗卫生服务体系规划纲要（2015-2020年）》，逐年加强</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医疗卫生机构基础设施建设,完善服务功能，规范基本公共卫生服务工作，提高基层卫生服务水平和质量，改善群众就医环境。</w:t>
      </w:r>
      <w:r>
        <w:rPr>
          <w:rFonts w:hint="eastAsia" w:ascii="仿宋_GB2312" w:hAnsi="仿宋_GB2312" w:eastAsia="仿宋_GB2312" w:cs="仿宋_GB2312"/>
          <w:color w:val="auto"/>
          <w:sz w:val="32"/>
          <w:szCs w:val="32"/>
          <w:highlight w:val="none"/>
          <w:lang w:eastAsia="zh-CN"/>
        </w:rPr>
        <w:t>加强</w:t>
      </w:r>
      <w:r>
        <w:rPr>
          <w:rFonts w:hint="eastAsia" w:ascii="仿宋_GB2312" w:hAnsi="仿宋_GB2312" w:eastAsia="仿宋_GB2312" w:cs="仿宋_GB2312"/>
          <w:color w:val="auto"/>
          <w:sz w:val="32"/>
          <w:szCs w:val="32"/>
          <w:highlight w:val="none"/>
          <w:lang w:val="en-US" w:eastAsia="zh-CN"/>
        </w:rPr>
        <w:t>中心医疗服务</w:t>
      </w:r>
      <w:r>
        <w:rPr>
          <w:rFonts w:hint="eastAsia" w:ascii="仿宋_GB2312" w:hAnsi="仿宋_GB2312" w:eastAsia="仿宋_GB2312" w:cs="仿宋_GB2312"/>
          <w:color w:val="auto"/>
          <w:sz w:val="32"/>
          <w:szCs w:val="32"/>
          <w:highlight w:val="none"/>
          <w:lang w:eastAsia="zh-CN"/>
        </w:rPr>
        <w:t>能力建设，</w:t>
      </w:r>
      <w:r>
        <w:rPr>
          <w:rFonts w:hint="eastAsia" w:ascii="仿宋_GB2312" w:hAnsi="仿宋_GB2312" w:eastAsia="仿宋_GB2312" w:cs="仿宋_GB2312"/>
          <w:color w:val="auto"/>
          <w:sz w:val="32"/>
          <w:szCs w:val="32"/>
          <w:highlight w:val="none"/>
        </w:rPr>
        <w:t>提升基层医疗卫生机构服务能力。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进一步健全</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医疗卫生服务网络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按照打造15分钟卫生服务圈的目标要求，充实和加强薄弱</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的医疗卫生服务工作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rPr>
        <w:t>中心重点学科和特色专科建设，引领重点，突出特色。开展科研课题研究及新技术、新项目引进和推广，提升医疗服务能力和水平。</w:t>
      </w:r>
    </w:p>
    <w:p>
      <w:pPr>
        <w:ind w:firstLine="612" w:firstLineChars="200"/>
        <w:rPr>
          <w:highlight w:val="none"/>
        </w:rPr>
      </w:pPr>
      <w:r>
        <w:rPr>
          <w:rFonts w:hint="eastAsia" w:ascii="仿宋_GB2312"/>
          <w:b/>
          <w:szCs w:val="32"/>
          <w:highlight w:val="none"/>
        </w:rPr>
        <w:t>八、其他需说明的问题。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无其他需要说明的问题。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default" w:ascii="仿宋_GB2312" w:hAnsi="仿宋_GB2312" w:eastAsia="仿宋_GB2312" w:cs="仿宋_GB2312"/>
          <w:sz w:val="32"/>
          <w:szCs w:val="32"/>
          <w:highlight w:val="none"/>
          <w:lang w:val="en-US" w:eastAsia="zh-CN"/>
        </w:rPr>
      </w:pPr>
    </w:p>
    <w:p>
      <w:pPr>
        <w:ind w:firstLine="612" w:firstLineChars="200"/>
        <w:rPr>
          <w:rFonts w:hint="eastAsia" w:ascii="仿宋_GB2312"/>
          <w:szCs w:val="32"/>
        </w:rPr>
      </w:pPr>
      <w:r>
        <w:rPr>
          <w:rFonts w:hint="eastAsia" w:ascii="仿宋_GB2312"/>
          <w:szCs w:val="32"/>
        </w:rPr>
        <w:t>附件：项目支出绩效指标评分表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spacing w:line="600" w:lineRule="exact"/>
        <w:jc w:val="right"/>
        <w:rPr>
          <w:rFonts w:hint="eastAsia" w:ascii="仿宋_GB2312" w:hAnsi="仿宋_GB2312" w:cs="仿宋_GB2312"/>
          <w:bCs/>
          <w:szCs w:val="32"/>
        </w:rPr>
      </w:pPr>
      <w:r>
        <w:rPr>
          <w:rFonts w:hint="eastAsia" w:ascii="仿宋_GB2312" w:hAnsi="仿宋_GB2312" w:cs="仿宋_GB2312"/>
          <w:szCs w:val="32"/>
        </w:rPr>
        <w:t xml:space="preserve"> 昆明市呈贡区卫生健康局</w:t>
      </w:r>
    </w:p>
    <w:p>
      <w:pPr>
        <w:ind w:firstLine="612" w:firstLineChars="200"/>
        <w:jc w:val="right"/>
        <w:outlineLvl w:val="0"/>
        <w:rPr>
          <w:rFonts w:hint="eastAsia" w:ascii="仿宋_GB2312" w:hAnsi="仿宋_GB2312" w:cs="仿宋_GB2312"/>
          <w:szCs w:val="32"/>
        </w:rPr>
      </w:pPr>
      <w:r>
        <w:rPr>
          <w:rFonts w:hint="eastAsia" w:ascii="仿宋_GB2312" w:hAnsi="仿宋_GB2312" w:cs="仿宋_GB2312"/>
          <w:szCs w:val="32"/>
        </w:rPr>
        <w:t xml:space="preserve">                            202</w:t>
      </w:r>
      <w:r>
        <w:rPr>
          <w:rFonts w:hint="eastAsia" w:ascii="仿宋_GB2312" w:hAnsi="仿宋_GB2312" w:cs="仿宋_GB2312"/>
          <w:szCs w:val="32"/>
          <w:lang w:val="en-US" w:eastAsia="zh-CN"/>
        </w:rPr>
        <w:t>4</w:t>
      </w:r>
      <w:r>
        <w:rPr>
          <w:rFonts w:hint="eastAsia" w:ascii="仿宋_GB2312" w:hAnsi="仿宋_GB2312" w:cs="仿宋_GB2312"/>
          <w:szCs w:val="32"/>
        </w:rPr>
        <w:t>年</w:t>
      </w:r>
      <w:r>
        <w:rPr>
          <w:rFonts w:hint="eastAsia" w:ascii="仿宋_GB2312" w:hAnsi="仿宋_GB2312" w:cs="仿宋_GB2312"/>
          <w:szCs w:val="32"/>
          <w:lang w:val="en-US" w:eastAsia="zh-CN"/>
        </w:rPr>
        <w:t>2</w:t>
      </w:r>
      <w:r>
        <w:rPr>
          <w:rFonts w:hint="eastAsia" w:ascii="仿宋_GB2312" w:hAnsi="仿宋_GB2312" w:cs="仿宋_GB2312"/>
          <w:szCs w:val="32"/>
        </w:rPr>
        <w:t>月</w:t>
      </w:r>
      <w:r>
        <w:rPr>
          <w:rFonts w:hint="eastAsia" w:ascii="仿宋_GB2312" w:hAnsi="仿宋_GB2312" w:cs="仿宋_GB2312"/>
          <w:szCs w:val="32"/>
          <w:lang w:val="en-US" w:eastAsia="zh-CN"/>
        </w:rPr>
        <w:t>23</w:t>
      </w:r>
      <w:r>
        <w:rPr>
          <w:rFonts w:hint="eastAsia" w:ascii="仿宋_GB2312" w:hAnsi="仿宋_GB2312" w:cs="仿宋_GB2312"/>
          <w:szCs w:val="32"/>
        </w:rPr>
        <w:t>日</w:t>
      </w:r>
    </w:p>
    <w:p>
      <w:pPr>
        <w:ind w:firstLine="612" w:firstLineChars="200"/>
        <w:jc w:val="right"/>
        <w:outlineLvl w:val="0"/>
        <w:rPr>
          <w:rFonts w:hint="eastAsia" w:ascii="仿宋_GB2312" w:hAnsi="仿宋_GB2312" w:cs="仿宋_GB2312"/>
          <w:szCs w:val="32"/>
        </w:rPr>
      </w:pPr>
    </w:p>
    <w:p>
      <w:pPr>
        <w:ind w:firstLine="612" w:firstLineChars="200"/>
        <w:jc w:val="right"/>
        <w:outlineLvl w:val="0"/>
        <w:rPr>
          <w:rFonts w:hint="eastAsia" w:ascii="仿宋_GB2312" w:hAnsi="仿宋_GB2312" w:cs="仿宋_GB2312"/>
          <w:szCs w:val="32"/>
        </w:rPr>
      </w:pPr>
    </w:p>
    <w:p>
      <w:pPr>
        <w:ind w:firstLine="612" w:firstLineChars="200"/>
        <w:jc w:val="right"/>
        <w:outlineLvl w:val="0"/>
        <w:rPr>
          <w:rFonts w:hint="eastAsia" w:ascii="仿宋_GB2312" w:hAnsi="仿宋_GB2312" w:cs="仿宋_GB2312"/>
          <w:szCs w:val="32"/>
        </w:rPr>
      </w:pPr>
    </w:p>
    <w:p>
      <w:pPr>
        <w:ind w:firstLine="612" w:firstLineChars="200"/>
        <w:jc w:val="right"/>
        <w:outlineLvl w:val="0"/>
        <w:rPr>
          <w:rFonts w:hint="eastAsia" w:ascii="仿宋_GB2312" w:hAnsi="仿宋_GB2312" w:cs="仿宋_GB2312"/>
          <w:szCs w:val="32"/>
        </w:rPr>
      </w:pPr>
    </w:p>
    <w:p>
      <w:pPr>
        <w:ind w:firstLine="612" w:firstLineChars="200"/>
        <w:jc w:val="right"/>
        <w:outlineLvl w:val="0"/>
        <w:rPr>
          <w:rFonts w:hint="eastAsia" w:ascii="仿宋_GB2312" w:hAnsi="仿宋_GB2312" w:cs="仿宋_GB2312"/>
          <w:szCs w:val="32"/>
        </w:rPr>
      </w:pPr>
    </w:p>
    <w:p>
      <w:pPr>
        <w:ind w:firstLine="612" w:firstLineChars="200"/>
        <w:jc w:val="right"/>
        <w:outlineLvl w:val="0"/>
        <w:rPr>
          <w:rFonts w:hint="eastAsia" w:ascii="仿宋_GB2312" w:hAnsi="仿宋_GB2312" w:cs="仿宋_GB2312"/>
          <w:szCs w:val="32"/>
        </w:rPr>
      </w:pPr>
    </w:p>
    <w:p>
      <w:pPr>
        <w:ind w:firstLine="612" w:firstLineChars="200"/>
        <w:jc w:val="right"/>
        <w:outlineLvl w:val="0"/>
        <w:rPr>
          <w:rFonts w:hint="eastAsia" w:ascii="仿宋_GB2312" w:hAnsi="仿宋_GB2312" w:cs="仿宋_GB2312"/>
          <w:szCs w:val="32"/>
        </w:rPr>
      </w:pPr>
    </w:p>
    <w:p>
      <w:pPr>
        <w:jc w:val="both"/>
        <w:outlineLvl w:val="0"/>
        <w:rPr>
          <w:rFonts w:hint="eastAsia" w:ascii="仿宋_GB2312" w:hAnsi="仿宋_GB2312" w:cs="仿宋_GB2312"/>
          <w:szCs w:val="32"/>
        </w:rPr>
      </w:pPr>
    </w:p>
    <w:p>
      <w:pPr>
        <w:pStyle w:val="9"/>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tbl>
      <w:tblPr>
        <w:tblStyle w:val="6"/>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08"/>
        <w:gridCol w:w="8"/>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1579" w:hRule="atLeast"/>
          <w:tblHeader/>
        </w:trPr>
        <w:tc>
          <w:tcPr>
            <w:tcW w:w="8847" w:type="dxa"/>
            <w:gridSpan w:val="11"/>
            <w:tcBorders>
              <w:top w:val="nil"/>
              <w:left w:val="nil"/>
              <w:right w:val="nil"/>
            </w:tcBorders>
            <w:noWrap w:val="0"/>
            <w:vAlign w:val="center"/>
          </w:tcPr>
          <w:p>
            <w:pPr>
              <w:widowControl/>
              <w:spacing w:before="293" w:beforeLines="50" w:after="293" w:afterLines="50"/>
              <w:jc w:val="center"/>
              <w:rPr>
                <w:rFonts w:ascii="黑体" w:hAnsi="宋体" w:eastAsia="黑体" w:cs="宋体"/>
                <w:kern w:val="0"/>
                <w:sz w:val="36"/>
                <w:szCs w:val="36"/>
              </w:rPr>
            </w:pPr>
            <w:r>
              <w:rPr>
                <w:rFonts w:hint="eastAsia" w:ascii="黑体" w:hAnsi="宋体" w:eastAsia="黑体" w:cs="宋体"/>
                <w:kern w:val="0"/>
                <w:sz w:val="36"/>
                <w:szCs w:val="36"/>
              </w:rPr>
              <w:t>202</w:t>
            </w:r>
            <w:r>
              <w:rPr>
                <w:rFonts w:hint="eastAsia" w:ascii="黑体" w:hAnsi="宋体" w:eastAsia="黑体" w:cs="宋体"/>
                <w:kern w:val="0"/>
                <w:sz w:val="36"/>
                <w:szCs w:val="36"/>
                <w:lang w:val="en-US" w:eastAsia="zh-CN"/>
              </w:rPr>
              <w:t>3</w:t>
            </w:r>
            <w:r>
              <w:rPr>
                <w:rFonts w:hint="eastAsia" w:ascii="黑体" w:hAnsi="宋体" w:eastAsia="黑体" w:cs="宋体"/>
                <w:kern w:val="0"/>
                <w:sz w:val="36"/>
                <w:szCs w:val="36"/>
              </w:rPr>
              <w:t>年</w:t>
            </w:r>
            <w:r>
              <w:rPr>
                <w:rFonts w:hint="eastAsia" w:ascii="黑体" w:hAnsi="宋体" w:eastAsia="黑体" w:cs="宋体"/>
                <w:kern w:val="0"/>
                <w:sz w:val="36"/>
                <w:szCs w:val="36"/>
                <w:lang w:eastAsia="zh-CN"/>
              </w:rPr>
              <w:t>呈贡区斗南街道社区卫生服务中心</w:t>
            </w: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blHeader/>
        </w:trPr>
        <w:tc>
          <w:tcPr>
            <w:tcW w:w="616"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3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74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ascii="仿宋_GB2312" w:hAnsi="宋体" w:cs="宋体"/>
                <w:kern w:val="0"/>
                <w:sz w:val="21"/>
                <w:szCs w:val="21"/>
              </w:rPr>
              <w:t>7</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ascii="仿宋_GB2312" w:hAnsi="宋体" w:cs="宋体"/>
                <w:kern w:val="0"/>
                <w:sz w:val="21"/>
                <w:szCs w:val="21"/>
              </w:rPr>
              <w:t>4-7</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ascii="仿宋_GB2312" w:hAnsi="宋体" w:cs="宋体"/>
                <w:kern w:val="0"/>
                <w:sz w:val="21"/>
                <w:szCs w:val="21"/>
              </w:rPr>
              <w:t>3-6</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ascii="仿宋_GB2312" w:hAnsi="宋体" w:cs="宋体"/>
                <w:kern w:val="0"/>
                <w:sz w:val="21"/>
                <w:szCs w:val="21"/>
              </w:rPr>
              <w:t>2-5</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ascii="仿宋_GB2312" w:hAnsi="宋体" w:cs="宋体"/>
                <w:kern w:val="0"/>
                <w:sz w:val="21"/>
                <w:szCs w:val="21"/>
              </w:rPr>
              <w:t>2-5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1</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noWrap w:val="0"/>
            <w:vAlign w:val="center"/>
          </w:tcPr>
          <w:p>
            <w:pPr>
              <w:widowControl/>
              <w:spacing w:line="260" w:lineRule="exact"/>
              <w:ind w:left="190" w:hanging="196"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ascii="仿宋_GB2312" w:hAnsi="宋体" w:cs="宋体"/>
                <w:kern w:val="0"/>
                <w:sz w:val="21"/>
                <w:szCs w:val="21"/>
              </w:rPr>
              <w:t>55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(15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rPr>
        <w:tc>
          <w:tcPr>
            <w:tcW w:w="2356" w:type="dxa"/>
            <w:gridSpan w:val="5"/>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93</w:t>
            </w:r>
          </w:p>
        </w:tc>
        <w:tc>
          <w:tcPr>
            <w:tcW w:w="2775"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pStyle w:val="9"/>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sectPr>
      <w:headerReference r:id="rId3" w:type="default"/>
      <w:footerReference r:id="rId4" w:type="default"/>
      <w:pgSz w:w="11906" w:h="16838"/>
      <w:pgMar w:top="2098" w:right="1474" w:bottom="1984" w:left="1587" w:header="851" w:footer="992" w:gutter="0"/>
      <w:paperSrc/>
      <w:pgNumType w:fmt="decimal"/>
      <w:cols w:space="0" w:num="1"/>
      <w:rtlGutter w:val="0"/>
      <w:docGrid w:type="linesAndChars" w:linePitch="608"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4D"/>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D99F3"/>
    <w:multiLevelType w:val="singleLevel"/>
    <w:tmpl w:val="F99D99F3"/>
    <w:lvl w:ilvl="0" w:tentative="0">
      <w:start w:val="6"/>
      <w:numFmt w:val="chineseCounting"/>
      <w:suff w:val="nothing"/>
      <w:lvlText w:val="%1、"/>
      <w:lvlJc w:val="left"/>
      <w:rPr>
        <w:rFonts w:hint="eastAsia"/>
      </w:rPr>
    </w:lvl>
  </w:abstractNum>
  <w:abstractNum w:abstractNumId="1">
    <w:nsid w:val="FA9E0A11"/>
    <w:multiLevelType w:val="singleLevel"/>
    <w:tmpl w:val="FA9E0A11"/>
    <w:lvl w:ilvl="0" w:tentative="0">
      <w:start w:val="3"/>
      <w:numFmt w:val="chineseCounting"/>
      <w:suff w:val="nothing"/>
      <w:lvlText w:val="（%1）"/>
      <w:lvlJc w:val="left"/>
      <w:rPr>
        <w:rFonts w:hint="eastAsia"/>
      </w:rPr>
    </w:lvl>
  </w:abstractNum>
  <w:abstractNum w:abstractNumId="2">
    <w:nsid w:val="35D43B7E"/>
    <w:multiLevelType w:val="singleLevel"/>
    <w:tmpl w:val="35D43B7E"/>
    <w:lvl w:ilvl="0" w:tentative="0">
      <w:start w:val="2"/>
      <w:numFmt w:val="chineseCounting"/>
      <w:suff w:val="nothing"/>
      <w:lvlText w:val="（%1）"/>
      <w:lvlJc w:val="left"/>
      <w:rPr>
        <w:rFonts w:hint="eastAsia"/>
      </w:rPr>
    </w:lvl>
  </w:abstractNum>
  <w:abstractNum w:abstractNumId="3">
    <w:nsid w:val="7AA5F609"/>
    <w:multiLevelType w:val="singleLevel"/>
    <w:tmpl w:val="7AA5F609"/>
    <w:lvl w:ilvl="0" w:tentative="0">
      <w:start w:val="2"/>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3"/>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ZjE2ZTRmMmRkMWE1Mjg0NmJkNWQ0ZTg0ZWVkODQifQ=="/>
  </w:docVars>
  <w:rsids>
    <w:rsidRoot w:val="00000000"/>
    <w:rsid w:val="02E35293"/>
    <w:rsid w:val="05AE36CA"/>
    <w:rsid w:val="0F9C0A4B"/>
    <w:rsid w:val="10455972"/>
    <w:rsid w:val="108B1206"/>
    <w:rsid w:val="1B487F31"/>
    <w:rsid w:val="1C1C3415"/>
    <w:rsid w:val="1D954836"/>
    <w:rsid w:val="20050EA8"/>
    <w:rsid w:val="2035478B"/>
    <w:rsid w:val="2B63268D"/>
    <w:rsid w:val="2B926DDF"/>
    <w:rsid w:val="2C900DFD"/>
    <w:rsid w:val="32E7364E"/>
    <w:rsid w:val="33FB1092"/>
    <w:rsid w:val="36CB5131"/>
    <w:rsid w:val="378A5996"/>
    <w:rsid w:val="3A874506"/>
    <w:rsid w:val="409B517A"/>
    <w:rsid w:val="42D11161"/>
    <w:rsid w:val="49AC74A5"/>
    <w:rsid w:val="4C9D15DC"/>
    <w:rsid w:val="4F1A29AE"/>
    <w:rsid w:val="517A3F69"/>
    <w:rsid w:val="530A53F1"/>
    <w:rsid w:val="55A904A3"/>
    <w:rsid w:val="563752A3"/>
    <w:rsid w:val="5A3C1FFE"/>
    <w:rsid w:val="5A3C6978"/>
    <w:rsid w:val="5B180558"/>
    <w:rsid w:val="5CD82B27"/>
    <w:rsid w:val="5D4635C9"/>
    <w:rsid w:val="66402D4F"/>
    <w:rsid w:val="665D4F73"/>
    <w:rsid w:val="66B21CD0"/>
    <w:rsid w:val="67600811"/>
    <w:rsid w:val="6C692E30"/>
    <w:rsid w:val="6E16530A"/>
    <w:rsid w:val="6F0B2399"/>
    <w:rsid w:val="6F4D77A4"/>
    <w:rsid w:val="6FB14035"/>
    <w:rsid w:val="7A223E78"/>
    <w:rsid w:val="7A942884"/>
    <w:rsid w:val="7AF66669"/>
    <w:rsid w:val="7B920277"/>
    <w:rsid w:val="7C49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200" w:firstLineChars="200"/>
    </w:pPr>
    <w:rPr>
      <w:rFonts w:ascii="??" w:hAnsi="??" w:cs="Times New Roman"/>
      <w:sz w:val="28"/>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列出段落1"/>
    <w:basedOn w:val="1"/>
    <w:autoRedefine/>
    <w:qFormat/>
    <w:uiPriority w:val="99"/>
    <w:pPr>
      <w:ind w:firstLine="420"/>
    </w:pPr>
  </w:style>
  <w:style w:type="paragraph" w:customStyle="1" w:styleId="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p0"/>
    <w:basedOn w:val="1"/>
    <w:autoRedefine/>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4421</Words>
  <Characters>4604</Characters>
  <Lines>0</Lines>
  <Paragraphs>0</Paragraphs>
  <TotalTime>4</TotalTime>
  <ScaleCrop>false</ScaleCrop>
  <LinksUpToDate>false</LinksUpToDate>
  <CharactersWithSpaces>4611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邱秋</cp:lastModifiedBy>
  <cp:lastPrinted>2024-02-20T06:03:00Z</cp:lastPrinted>
  <dcterms:modified xsi:type="dcterms:W3CDTF">2024-02-23T06:21:34Z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C5990D30A59C4B6F8E2336441727C77F</vt:lpwstr>
  </property>
</Properties>
</file>