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沐春湖、泛春湖水环境整治及生态建设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项目支出绩效报告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（自评）</w:t>
      </w:r>
    </w:p>
    <w:p>
      <w:pPr>
        <w:spacing w:line="600" w:lineRule="exact"/>
        <w:ind w:firstLine="674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根据《昆明市呈贡区人民政府办公室关于印发2022年10件惠民实事的通知》（呈政办发〔2022〕13 号）、《关于对呈贡区2022年度重点工作任务进行立项督查的通知》（呈政督通〔2022〕3号）文件，呈贡区水务局牵头负责实施泛春湖、沐春湖绿化美化亮化工程。工程于2022年5月24日完成可研报告编制、评审，并取得可研立项批复文件（呈发改复〔2022〕46号）。批复项目名称为“呈贡区沐春湖、泛春湖水环境整治及生态建设项目”。项目批复总投资为9199.81万元。建设内容包括水生态治理工程、生态建设工程、建筑工程三部分组成。其中：水生态治理工程为泛春湖、沐春湖水环境治理，水域面积约11.12公顷。生态建设工程为项目范围内生态环境提升，面积约56670.3平方米。建筑工程包括配套建筑面积600平方米、山顶生态木屋5个以及2栋沿街市政建筑外立面美化。</w:t>
      </w:r>
    </w:p>
    <w:p>
      <w:pPr>
        <w:numPr>
          <w:ilvl w:val="0"/>
          <w:numId w:val="0"/>
        </w:num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绩效目标设定及指标完成情况。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项目总体目标：通过对呈贡区沐春湖、泛春湖水环境整治及生态建设。以提高环滇池综合治理成效，将生态、人居、产业、文化融为一体；打造“四合一”环滇池综合治理引领模式“呈贡模式”。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呈贡区沐春湖、泛春湖水环境整治及生态建设项目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2023年到位市级补助资金400万元（呈贡区沐春湖、泛春湖水环境整治及生态建设项目市级补助资金）、区级预算173.064万元（ 呈贡区沐春湖、泛春湖水环境整治及生态建设项目资金156万元、呈贡区七步场大塘子、小塘子水环境提升整治工程（沐春湖、泛春湖水环境整治及生态建设项目）专项经费17.064万元），共计573.064万元。已全额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项目资金管理情况</w:t>
      </w:r>
    </w:p>
    <w:p>
      <w:pPr>
        <w:keepNext w:val="0"/>
        <w:keepLines w:val="0"/>
        <w:widowControl/>
        <w:suppressLineNumbers w:val="0"/>
        <w:ind w:firstLine="59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严格执行项目法人责任制、招标投标制、建设监理制、合同管理制，落实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财务管理制度，专款专用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项目组织情况分析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项目自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初启动以来，我局委托了第三方鉴定机构对湖底淤泥进行了危险废物鉴定，鉴定结果为一般固体废弃物。同时主动对接区自然资源局就土地性质进一步明确，确定工程建设范围和形式。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日，呈贡区水务局和乌龙街道办事处联合请示区政府：建议由呈贡区水务局负责实施非农用地范围建设，由乌龙街道办事处负责实施农用地类范围建设。建设模式采用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EPC+О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模式，即设计、采购、施工及运营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或运营维护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一体化的总承包模式。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日，区政府召开呈贡区第四届人民政府第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次常务会议，研究并通过该请示。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5月24日取得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可研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立项批复（呈发改复〔2022〕46号）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复项目名称为“呈贡区沐春湖、泛春湖水环境整治及生态建设项目”。在充分考虑区级财政资金紧张和工程建设程序的情况下，7月4日上报了《昆明市呈贡区水务局关于呈贡区沐春湖、泛春湖水环境整治及生态建设项目分阶段实施的请示》及项目分阶段实施方案。8月10日呈政复〔2022〕88 号原则同意呈贡区沐春湖、泛春湖水环境整治及生态建设项目分阶段实施。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完成的参建单位招投标工作包括：EPCO（即勘察、设计、施工、运营单位）；监理单位，造价单位，环评（含监测）单位，水保（含监测）单位，用地报批单位。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项目于2022年11月25日开工建设，首开区于2023年9月26日通过阶段性验收，目前正在推进中 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项目管理情况分析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</w:p>
    <w:p>
      <w:pPr>
        <w:snapToGrid w:val="0"/>
        <w:spacing w:line="700" w:lineRule="exact"/>
        <w:ind w:firstLine="446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呈贡区沐春湖、泛春湖水环境整治及生态建设项目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严格按照国家规定的基本建设程序进行管理，严格执行了“项目法人制、招标投标制、监理制、合同制”。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一是产出指标：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（1）数量指标：1、人工湿地完成面积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   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val="en-US" w:eastAsia="zh-CN" w:bidi="ar-SA"/>
        </w:rPr>
        <w:t>2487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>平方米。2、高效生物滤池/可溢流生态屏障完成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val="en-US" w:eastAsia="zh-CN" w:bidi="ar-SA"/>
        </w:rPr>
        <w:t>3500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>平方米。3、绿化提升种植完成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auto"/>
          <w:lang w:val="en-US" w:eastAsia="zh-CN" w:bidi="ar-SA"/>
        </w:rPr>
        <w:t>41524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>平方米。（2）时效指标：1、项目建设期：目前项目已按计划开工建设，项目正常推进中。（3）成本指标：1、工程费用：项目委托了第三方造价单位全过程对工程建设费用进行审核，同时工程费用支付严格按照工程相关财务制度支付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二是效益指标：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>（1）经济效益指标：1、辅助区域经济的发展，该项目以将生态、人居、产业、文化融为一体，打造“四合一”环滇池综合治理引领模式，建成后将会为周边区域发展带来全新的带动作用。2、中央资金合规使用、有力支撑项目建设。目前在各级资金的支持下项目顺利推进。（2）社会效益指标：1、严格执行投融资机制，项目建设严格执行《昆明市财政支持海绵城市建设实施方案》《昆明市主城区公共排水设施运行维护及监督管理暂定办法（试行）》等相关规定，积极开展了项目申报专项债券。2、巩固区域产业发展优势：项目建成将极大的将七彩云南、万达广场两个CBD有机联系起来，进一步巩固区域产业发展优势。（3）生态效益指标：通过项目实施一是沐春湖清洁度提高。二是从上游开始通过自然净化过滤等减少了污染物进入滇池。三是区域生态绿化进一步提高。（4）可持续影响指标：1、区域生态环境及社会环境，通过对项目的运营维护，达到可持续发展的目标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 w:color="000000"/>
          <w:lang w:val="en-US" w:eastAsia="zh-CN" w:bidi="ar-SA"/>
        </w:rPr>
        <w:t>三是满意度指标：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 w:bidi="ar-SA"/>
        </w:rPr>
        <w:t>（1）服务对象满意度指标：1、人民群众满意度。该项目为民生项目，建设的初衷就是服务群众，目前群众满意度90%以上。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受区级财力和经济下行等多方面影响，项目建设资金缺口较大。加之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u w:val="none" w:color="000000"/>
          <w:lang w:val="en-US" w:eastAsia="zh-CN" w:bidi="ar-SA"/>
        </w:rPr>
        <w:t>此项目属于公益性项目，融资难度大。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、其他需要说明的问题</w:t>
      </w:r>
    </w:p>
    <w:bookmarkEnd w:id="0"/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项目正在对首开区阶段性验收问题进行整改，后续将根据土地报批情况适时开展次开区建设。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（二）主要经验做法、改进措施和有关建议等。</w:t>
      </w:r>
    </w:p>
    <w:p>
      <w:pPr>
        <w:ind w:firstLine="446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单位在组织项目实施过程中，坚持公平、公证、公开的招标原则，选择优秀的监理单位和施工单位是保证工程按质、按量、按期完工的重要保证。在工程实施的过程中，建设各方应明确各方职责，认真履行合同条款，这是节约工程投资的重要途径。在工程实施过程中，建设各方应通力协作，为工程建设提供良好的内外部条件，这也是确保工程圆满完工的重要保证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NWE1NzJhNzQ2MWZlMmM4NWFhMzJkNzcyMzdlN2QifQ=="/>
  </w:docVars>
  <w:rsids>
    <w:rsidRoot w:val="00000000"/>
    <w:rsid w:val="013B2B96"/>
    <w:rsid w:val="01A56033"/>
    <w:rsid w:val="02FC78E0"/>
    <w:rsid w:val="052B7BC2"/>
    <w:rsid w:val="05965581"/>
    <w:rsid w:val="05AE36CA"/>
    <w:rsid w:val="082D0D5E"/>
    <w:rsid w:val="0D782A7C"/>
    <w:rsid w:val="0E816F28"/>
    <w:rsid w:val="0F295F6C"/>
    <w:rsid w:val="10923E54"/>
    <w:rsid w:val="148D505F"/>
    <w:rsid w:val="1B122762"/>
    <w:rsid w:val="1E5B61CE"/>
    <w:rsid w:val="1F27593E"/>
    <w:rsid w:val="2260013C"/>
    <w:rsid w:val="23D82D73"/>
    <w:rsid w:val="26E22FEA"/>
    <w:rsid w:val="2D16731B"/>
    <w:rsid w:val="31A92BF0"/>
    <w:rsid w:val="378A5996"/>
    <w:rsid w:val="406B417F"/>
    <w:rsid w:val="444E7AB7"/>
    <w:rsid w:val="47B916EB"/>
    <w:rsid w:val="4B417535"/>
    <w:rsid w:val="5079410E"/>
    <w:rsid w:val="53AF35DF"/>
    <w:rsid w:val="53E75832"/>
    <w:rsid w:val="56F157DD"/>
    <w:rsid w:val="57B44EB3"/>
    <w:rsid w:val="58B959EF"/>
    <w:rsid w:val="5A3C6978"/>
    <w:rsid w:val="5E5341F0"/>
    <w:rsid w:val="60A70823"/>
    <w:rsid w:val="610C68D8"/>
    <w:rsid w:val="62376A73"/>
    <w:rsid w:val="63620A31"/>
    <w:rsid w:val="652561BA"/>
    <w:rsid w:val="66FC2F4B"/>
    <w:rsid w:val="67600811"/>
    <w:rsid w:val="6AFA2CE1"/>
    <w:rsid w:val="6B6E477F"/>
    <w:rsid w:val="6CA56B98"/>
    <w:rsid w:val="78A376CA"/>
    <w:rsid w:val="7A245426"/>
    <w:rsid w:val="7A821DFE"/>
    <w:rsid w:val="7CD75B94"/>
    <w:rsid w:val="7D14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2326</Words>
  <Characters>2463</Characters>
  <Lines>0</Lines>
  <Paragraphs>0</Paragraphs>
  <TotalTime>27</TotalTime>
  <ScaleCrop>false</ScaleCrop>
  <LinksUpToDate>false</LinksUpToDate>
  <CharactersWithSpaces>2480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Aiyucui</cp:lastModifiedBy>
  <dcterms:modified xsi:type="dcterms:W3CDTF">2024-08-19T02:22:37Z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5AD37D285FD4476AB100A9766ABE0F9C_13</vt:lpwstr>
  </property>
</Properties>
</file>