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下可乐、江尾社区污水提升泵站所需运行管理经费、 代收污水处理费经费等项目支出绩效报告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1.下可乐、江尾社区污水提升泵站所需运行管理经费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下可乐和江尾社区污水提升泵站由区水务局负责管理，为确保泵站正常运转，保障群众出行安全，每年投入资金委托第三方对泵站运行管理。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 污水处理费代收手续费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根据呈贡区水务局与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清源自来水有限责任公司签订的污水处理费代收协议，甲方在收到乙方拨付的污水处理费时，按3%标准向乙方支付手续费。</w:t>
      </w:r>
    </w:p>
    <w:p>
      <w:pPr>
        <w:topLinePunct/>
        <w:ind w:firstLine="614" w:firstLineChars="200"/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3.昆明市呈贡区水务局部分水务滇池治理及应急抢险等零星工程资金</w:t>
      </w:r>
    </w:p>
    <w:p>
      <w:pPr>
        <w:topLinePunct/>
        <w:ind w:firstLine="614" w:firstLineChars="200"/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按照《昆明市呈贡区人民政府关于对部分水务、滇池治理及应急抢险等零星工程进行统一招标的批复》（呈政复〔2018〕18号），区水务局开展部分水务、滇池治理及应急抢险等零星工程。</w:t>
      </w:r>
    </w:p>
    <w:p>
      <w:pPr>
        <w:topLinePunct/>
        <w:ind w:firstLine="614" w:firstLineChars="200"/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4.呈贡新建污水处理厂资金</w:t>
      </w:r>
    </w:p>
    <w:p>
      <w:pPr>
        <w:topLinePunct/>
        <w:ind w:firstLine="614" w:firstLineChars="200"/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根据未来呈贡区发展和规划及《昆明市排水专项规划》（2021-2035）（报审稿），呈贡区计划新增一座处理规模约为15-20万吨/日的城镇污水处理厂，满足2035年呈贡区发展及人口需求。按照2022年11月18日区政府分管领导批办件要求，正在开展呈贡区新建污水处理厂项目建议书、选址意见书及可行性研究报告编制等前期工作。</w:t>
      </w:r>
    </w:p>
    <w:p>
      <w:pPr>
        <w:topLinePunct/>
        <w:ind w:firstLine="614" w:firstLineChars="200"/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5.呈贡区已建成村庄污水管网进行巡查维护、清淤除障工作专项经费</w:t>
      </w:r>
    </w:p>
    <w:p>
      <w:pPr>
        <w:topLinePunct/>
        <w:ind w:firstLine="614" w:firstLineChars="200"/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2023年3月，根据《关于对已建成村庄污水管网进行巡查维护、清淤除障的请示（领导批示件）》，同意开展呈贡区已建成村庄污水管网巡查维护、清淤除障工作。工作的主要内容：对呈贡区村庄污水管网进行排查，将管网的破损情况形成问题清单，按照问题清单进行逐一处置，对管网进行清淤、维护。2023年9月4日，该项工作正式入场。目前，已完成排水管网初步排查，正在梳理管网存在问题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（二）绩效目标设定及指标完成情况</w:t>
      </w:r>
    </w:p>
    <w:p>
      <w:pPr>
        <w:topLinePunct/>
        <w:ind w:firstLine="614" w:firstLineChars="20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2023年度，代收污水处理费经费到位676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034.76元</w:t>
      </w:r>
      <w:r>
        <w:rPr>
          <w:rFonts w:hint="eastAsia" w:ascii="仿宋_GB2312" w:hAnsi="仿宋_GB2312" w:eastAsia="仿宋_GB2312" w:cs="仿宋_GB2312"/>
          <w:spacing w:val="5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5"/>
          <w:szCs w:val="32"/>
          <w:lang w:eastAsia="zh-CN"/>
        </w:rPr>
        <w:t xml:space="preserve"> 下可乐、江尾社区污水提升泵站所需运行管理经费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到位390000元</w:t>
      </w:r>
      <w:r>
        <w:rPr>
          <w:rFonts w:hint="eastAsia" w:ascii="仿宋_GB2312" w:hAnsi="仿宋_GB2312" w:eastAsia="仿宋_GB2312" w:cs="仿宋_GB2312"/>
          <w:spacing w:val="5"/>
          <w:szCs w:val="32"/>
        </w:rPr>
        <w:t>， 昆明市呈贡区水务局部分水务滇池治理及应急抢险等零星工程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资金到位350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000元，呈贡新建污水处理厂资金到位112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000元 ，呈贡区已建成村庄污水管网进行巡查维护、清淤除障工作专项经费到位800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000元，共</w:t>
      </w:r>
      <w:r>
        <w:rPr>
          <w:rFonts w:hint="eastAsia" w:ascii="仿宋_GB2312" w:hAnsi="仿宋_GB2312" w:eastAsia="仿宋_GB2312" w:cs="仿宋_GB2312"/>
          <w:spacing w:val="5"/>
          <w:szCs w:val="32"/>
        </w:rPr>
        <w:t>到位资金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328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034.76</w:t>
      </w:r>
      <w:r>
        <w:rPr>
          <w:rFonts w:hint="eastAsia" w:ascii="仿宋_GB2312" w:hAnsi="仿宋_GB2312" w:eastAsia="仿宋_GB2312" w:cs="仿宋_GB2312"/>
          <w:spacing w:val="5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5"/>
          <w:szCs w:val="32"/>
          <w:lang w:eastAsia="zh-CN"/>
        </w:rPr>
        <w:t>。资金</w:t>
      </w:r>
      <w:r>
        <w:rPr>
          <w:rFonts w:hint="eastAsia" w:ascii="仿宋_GB2312" w:hAnsi="仿宋_GB2312" w:eastAsia="仿宋_GB2312" w:cs="仿宋_GB2312"/>
          <w:spacing w:val="5"/>
          <w:szCs w:val="32"/>
        </w:rPr>
        <w:t>支付严格依据签订的合同条款履行，202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5"/>
          <w:szCs w:val="32"/>
        </w:rPr>
        <w:t>年实际支出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328</w:t>
      </w:r>
      <w:r>
        <w:rPr>
          <w:rFonts w:hint="eastAsia" w:ascii="仿宋_GB2312" w:hAnsi="仿宋_GB2312" w:cs="仿宋_GB2312"/>
          <w:spacing w:val="5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5"/>
          <w:szCs w:val="32"/>
          <w:lang w:val="en-US" w:eastAsia="zh-CN"/>
        </w:rPr>
        <w:t>034.76</w:t>
      </w:r>
      <w:r>
        <w:rPr>
          <w:rFonts w:hint="eastAsia" w:ascii="仿宋_GB2312" w:hAnsi="仿宋_GB2312" w:eastAsia="仿宋_GB2312" w:cs="仿宋_GB2312"/>
          <w:spacing w:val="5"/>
          <w:szCs w:val="32"/>
        </w:rPr>
        <w:t>元，完成率100%。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项目资金由区政府财政资金安排，资金及时到位。项目资金使用按照签订的合同严格执行，使用充分合理。项目资金拨付分期拨付，最大效益发挥了资金效益。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1.项目组织情况分析。</w:t>
      </w:r>
      <w:r>
        <w:rPr>
          <w:rFonts w:hint="eastAsia" w:ascii="仿宋_GB2312" w:hAnsi="仿宋_GB2312" w:eastAsia="仿宋_GB2312" w:cs="仿宋_GB2312"/>
          <w:spacing w:val="5"/>
          <w:szCs w:val="32"/>
        </w:rPr>
        <w:t>项目按照签署的合同，资金申报有依据、有序组织工作，合规支付。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2.项目管理情况分析。做好过程中管理，对照合同要求组织验收，加强日常检查监督管理。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四、项目绩效情况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1.项目经济性分析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项目预算经费控制严格执行财政预算相关管理制度。管理手段基本有效，确保了项目的费用支出符合相关项目管理制度规定要求。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2.项目的效率性分析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（1）项目的实施进度。项目按要求进行，确保时限内完成。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（2）项目完成质量。均达到质量要求，单位按时足额支付各项费用。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3.项目的效益性分析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（1）项目预期目标完成程度。完全依据预期目标完成该项目。</w:t>
      </w:r>
    </w:p>
    <w:p>
      <w:pPr>
        <w:ind w:firstLine="614" w:firstLineChars="200"/>
        <w:outlineLvl w:val="0"/>
        <w:rPr>
          <w:rFonts w:hint="eastAsia" w:ascii="仿宋_GB2312" w:hAnsi="仿宋_GB2312" w:eastAsia="仿宋_GB2312" w:cs="仿宋_GB2312"/>
          <w:spacing w:val="5"/>
          <w:szCs w:val="32"/>
        </w:rPr>
      </w:pPr>
      <w:r>
        <w:rPr>
          <w:rFonts w:hint="eastAsia" w:ascii="仿宋_GB2312" w:hAnsi="仿宋_GB2312" w:eastAsia="仿宋_GB2312" w:cs="仿宋_GB2312"/>
          <w:spacing w:val="5"/>
          <w:szCs w:val="32"/>
        </w:rPr>
        <w:t>（2）项目实施对经济和社会的影响。均达到质量要求，单位按时足额支付各项费用。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（一）资金分配方面的问题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资金分配合理，公平公正；无散小差现象；资金分配和使用方向与资金管理办法相符。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Cs w:val="32"/>
        </w:rPr>
        <w:t>）资金拨付方面的问题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</w:rPr>
        <w:t>各级各部门安排落实资金及时到位，</w:t>
      </w:r>
      <w:r>
        <w:rPr>
          <w:rFonts w:hint="eastAsia" w:ascii="仿宋_GB2312" w:hAnsi="仿宋_GB2312" w:eastAsia="仿宋_GB2312" w:cs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Cs w:val="32"/>
        </w:rPr>
        <w:t>）资金使用方面的问题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</w:rPr>
        <w:t>项目使用资金</w:t>
      </w:r>
      <w:r>
        <w:rPr>
          <w:rFonts w:hint="eastAsia" w:ascii="仿宋_GB2312" w:hAnsi="仿宋_GB2312" w:eastAsia="仿宋_GB2312" w:cs="仿宋_GB2312"/>
          <w:szCs w:val="32"/>
        </w:rPr>
        <w:t>合规、</w:t>
      </w:r>
      <w:r>
        <w:rPr>
          <w:rFonts w:hint="eastAsia" w:ascii="仿宋_GB2312" w:hAnsi="仿宋_GB2312" w:eastAsia="仿宋_GB2312" w:cs="仿宋_GB2312"/>
        </w:rPr>
        <w:t>充分，</w:t>
      </w:r>
      <w:r>
        <w:rPr>
          <w:rFonts w:hint="eastAsia" w:ascii="仿宋_GB2312" w:hAnsi="仿宋_GB2312" w:eastAsia="仿宋_GB2312" w:cs="仿宋_GB2312"/>
          <w:szCs w:val="32"/>
        </w:rPr>
        <w:t>无截留、挪用等现象。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Cs w:val="32"/>
        </w:rPr>
        <w:t>六、其他需要说明的问题</w:t>
      </w:r>
    </w:p>
    <w:bookmarkEnd w:id="0"/>
    <w:p>
      <w:pPr>
        <w:spacing w:line="560" w:lineRule="exact"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D4"/>
    <w:rsid w:val="00086569"/>
    <w:rsid w:val="001074EC"/>
    <w:rsid w:val="00151EE7"/>
    <w:rsid w:val="00200208"/>
    <w:rsid w:val="00285883"/>
    <w:rsid w:val="003E2AD5"/>
    <w:rsid w:val="004C4878"/>
    <w:rsid w:val="007B7FAD"/>
    <w:rsid w:val="00815D91"/>
    <w:rsid w:val="00A51348"/>
    <w:rsid w:val="00AF75E5"/>
    <w:rsid w:val="00BB0AA9"/>
    <w:rsid w:val="00D820D4"/>
    <w:rsid w:val="00F56E1B"/>
    <w:rsid w:val="00FD4837"/>
    <w:rsid w:val="028237F6"/>
    <w:rsid w:val="05AE36CA"/>
    <w:rsid w:val="089F49DA"/>
    <w:rsid w:val="13893214"/>
    <w:rsid w:val="234A248B"/>
    <w:rsid w:val="24E44ADE"/>
    <w:rsid w:val="36855C4A"/>
    <w:rsid w:val="36F336AA"/>
    <w:rsid w:val="378A5996"/>
    <w:rsid w:val="3ABF2B21"/>
    <w:rsid w:val="498872D5"/>
    <w:rsid w:val="49FD4A73"/>
    <w:rsid w:val="50010253"/>
    <w:rsid w:val="5A160F65"/>
    <w:rsid w:val="5A3C6978"/>
    <w:rsid w:val="62570027"/>
    <w:rsid w:val="65BC6E08"/>
    <w:rsid w:val="67600811"/>
    <w:rsid w:val="67DD798F"/>
    <w:rsid w:val="6A786C3C"/>
    <w:rsid w:val="6C7907CB"/>
    <w:rsid w:val="6E807417"/>
    <w:rsid w:val="765C5C3D"/>
    <w:rsid w:val="79277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3</TotalTime>
  <ScaleCrop>false</ScaleCrop>
  <LinksUpToDate>false</LinksUpToDate>
  <CharactersWithSpaces>1275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2021-03-18T06:12:00Z</dcterms:created>
  <dc:creator>jyjcg</dc:creator>
  <cp:lastModifiedBy>Aiyucui</cp:lastModifiedBy>
  <dcterms:modified xsi:type="dcterms:W3CDTF">2024-08-15T01:19:57Z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273EB807D7DF423BB2989C0359EF9AFC</vt:lpwstr>
  </property>
</Properties>
</file>