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昆明市呈贡区统计局202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年度项目支出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绩效自评报告</w:t>
      </w:r>
    </w:p>
    <w:p>
      <w:pPr>
        <w:spacing w:line="560" w:lineRule="exact"/>
        <w:ind w:firstLine="594" w:firstLineChars="200"/>
        <w:rPr>
          <w:rFonts w:ascii="仿宋_GB2312" w:hAnsi="宋体" w:cs="宋体"/>
          <w:szCs w:val="32"/>
        </w:rPr>
      </w:pP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一、基本情况</w:t>
      </w:r>
    </w:p>
    <w:p>
      <w:pPr>
        <w:spacing w:line="560" w:lineRule="exact"/>
        <w:ind w:left="640" w:right="318"/>
        <w:jc w:val="left"/>
        <w:rPr>
          <w:rFonts w:ascii="楷体_GB2312" w:hAnsi="黑体" w:eastAsia="楷体_GB2312" w:cs="Times New Roman"/>
          <w:szCs w:val="32"/>
        </w:rPr>
      </w:pPr>
      <w:r>
        <w:rPr>
          <w:rFonts w:hint="eastAsia" w:ascii="楷体_GB2312" w:hAnsi="黑体" w:eastAsia="楷体_GB2312" w:cs="Times New Roman"/>
          <w:szCs w:val="32"/>
        </w:rPr>
        <w:t>（一）项目概况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为完成特定的行政工作任务和事业发展目标，</w:t>
      </w:r>
      <w:r>
        <w:rPr>
          <w:rFonts w:hint="eastAsia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3年度</w:t>
      </w:r>
      <w:r>
        <w:rPr>
          <w:rFonts w:hint="eastAsia" w:ascii="Times New Roman" w:hAnsi="Times New Roman" w:cs="Times New Roman"/>
          <w:szCs w:val="32"/>
        </w:rPr>
        <w:t>区统计局</w:t>
      </w:r>
      <w:r>
        <w:rPr>
          <w:rFonts w:ascii="Times New Roman" w:hAnsi="Times New Roman" w:cs="Times New Roman"/>
          <w:szCs w:val="32"/>
        </w:rPr>
        <w:t>共开展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ascii="Times New Roman" w:hAnsi="Times New Roman" w:cs="Times New Roman"/>
          <w:szCs w:val="32"/>
        </w:rPr>
        <w:t>个区级</w:t>
      </w:r>
      <w:r>
        <w:rPr>
          <w:rFonts w:hint="eastAsia" w:ascii="Times New Roman" w:hAnsi="Times New Roman" w:cs="Times New Roman"/>
          <w:szCs w:val="32"/>
          <w:lang w:eastAsia="zh-CN"/>
        </w:rPr>
        <w:t>预算</w:t>
      </w:r>
      <w:r>
        <w:rPr>
          <w:rFonts w:ascii="Times New Roman" w:hAnsi="Times New Roman" w:cs="Times New Roman"/>
          <w:szCs w:val="32"/>
        </w:rPr>
        <w:t>项目，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2个上级资金挂接项目，1个自有资金采购项目，实际发生项目经费支出118.5354万元。</w:t>
      </w:r>
      <w:r>
        <w:rPr>
          <w:rFonts w:ascii="Times New Roman" w:hAnsi="Times New Roman" w:cs="Times New Roman"/>
          <w:szCs w:val="32"/>
        </w:rPr>
        <w:t>具体</w:t>
      </w:r>
      <w:r>
        <w:rPr>
          <w:rFonts w:hint="eastAsia" w:ascii="Times New Roman" w:hAnsi="Times New Roman" w:cs="Times New Roman"/>
          <w:szCs w:val="32"/>
          <w:lang w:eastAsia="zh-CN"/>
        </w:rPr>
        <w:t>项目</w:t>
      </w:r>
      <w:r>
        <w:rPr>
          <w:rFonts w:ascii="Times New Roman" w:hAnsi="Times New Roman" w:cs="Times New Roman"/>
          <w:szCs w:val="32"/>
        </w:rPr>
        <w:t>开支情况如下：</w:t>
      </w:r>
    </w:p>
    <w:tbl>
      <w:tblPr>
        <w:tblStyle w:val="5"/>
        <w:tblpPr w:leftFromText="180" w:rightFromText="180" w:vertAnchor="text" w:horzAnchor="margin" w:tblpXSpec="center" w:tblpY="868"/>
        <w:tblOverlap w:val="never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74"/>
        <w:gridCol w:w="1283"/>
        <w:gridCol w:w="1117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财政拨款（万元）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实际支出数（万元）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支出率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呈贡区第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经济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普查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194（调减后为84.8318）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47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9633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56.54%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年中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追加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，调减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109.1682万元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935982+18000+10000+110200+17500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全国住户收支与生活状况调查专项经费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56.101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56.101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15.51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年中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追加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40.591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区街道统计中心业务费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58.51%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综合统计业务费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从五经普项目调剂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人口变动抽样调查专项经费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61.94%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从五经普项目调剂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区妇女儿童规划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2023年度统计监测评估工作专项经费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从五经普项目调剂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机关党员教育活动经费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年初预算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第五次经济普查省级专项经费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23.02（调减后为3.02）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76.39%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级补助2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3.02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，调减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农业农村统计监测项目经费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级补助2万元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党员活动室政府采购自有资金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支出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经费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3.7104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6289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97.80%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专户自有资金采购</w:t>
            </w:r>
          </w:p>
        </w:tc>
      </w:tr>
    </w:tbl>
    <w:p>
      <w:pPr>
        <w:spacing w:line="560" w:lineRule="exact"/>
        <w:ind w:firstLine="594" w:firstLineChars="200"/>
        <w:outlineLvl w:val="0"/>
        <w:rPr>
          <w:rFonts w:ascii="楷体_GB2312" w:hAnsi="楷体" w:eastAsia="楷体_GB2312"/>
          <w:szCs w:val="32"/>
        </w:rPr>
      </w:pPr>
      <w:r>
        <w:rPr>
          <w:rFonts w:hint="eastAsia" w:ascii="楷体_GB2312" w:hAnsi="楷体" w:eastAsia="楷体_GB2312"/>
          <w:szCs w:val="32"/>
        </w:rPr>
        <w:t>（二）项目绩效目标</w:t>
      </w:r>
    </w:p>
    <w:p>
      <w:pPr>
        <w:spacing w:line="560" w:lineRule="exact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32"/>
        </w:rPr>
        <w:t>一是围绕区委、区政府中心工作做好常规统计工作，提供统计服务。二是强化统计基层基础工作，进一步提升统计业务能力，确保统计源头数据真实准确。</w:t>
      </w:r>
    </w:p>
    <w:p>
      <w:pPr>
        <w:spacing w:line="560" w:lineRule="exact"/>
        <w:ind w:firstLine="594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项目资金来源于公共财政预算资金，由区财政统一安排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  <w:highlight w:val="none"/>
        </w:rPr>
        <w:t>202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3</w:t>
      </w:r>
      <w:r>
        <w:rPr>
          <w:rFonts w:ascii="Times New Roman" w:hAnsi="Times New Roman" w:cs="Times New Roman"/>
          <w:szCs w:val="32"/>
          <w:highlight w:val="none"/>
        </w:rPr>
        <w:t>年项目资金实际支出</w:t>
      </w:r>
      <w:r>
        <w:rPr>
          <w:rFonts w:hint="eastAsia" w:ascii="Times New Roman" w:hAnsi="Times New Roman" w:cs="Times New Roman"/>
          <w:szCs w:val="32"/>
          <w:highlight w:val="none"/>
          <w:u w:val="none"/>
          <w:lang w:val="en-US" w:eastAsia="zh-CN"/>
        </w:rPr>
        <w:t>118.5354</w:t>
      </w:r>
      <w:r>
        <w:rPr>
          <w:rFonts w:ascii="Times New Roman" w:hAnsi="Times New Roman" w:cs="Times New Roman"/>
          <w:szCs w:val="32"/>
          <w:highlight w:val="none"/>
        </w:rPr>
        <w:t>万元。</w:t>
      </w:r>
      <w:r>
        <w:rPr>
          <w:rFonts w:ascii="Times New Roman" w:hAnsi="Times New Roman" w:cs="Times New Roman"/>
          <w:szCs w:val="32"/>
        </w:rPr>
        <w:t>项目</w:t>
      </w:r>
      <w:r>
        <w:rPr>
          <w:rFonts w:hint="eastAsia" w:ascii="Times New Roman" w:hAnsi="Times New Roman" w:cs="Times New Roman"/>
          <w:szCs w:val="32"/>
        </w:rPr>
        <w:t>资金</w:t>
      </w:r>
      <w:r>
        <w:rPr>
          <w:rFonts w:ascii="Times New Roman" w:hAnsi="Times New Roman" w:cs="Times New Roman"/>
          <w:szCs w:val="32"/>
        </w:rPr>
        <w:t>实际使用过程中，严格</w:t>
      </w:r>
      <w:r>
        <w:rPr>
          <w:rFonts w:hint="eastAsia" w:ascii="Times New Roman" w:hAnsi="Times New Roman" w:cs="Times New Roman"/>
          <w:szCs w:val="32"/>
        </w:rPr>
        <w:t>审查</w:t>
      </w:r>
      <w:r>
        <w:rPr>
          <w:rFonts w:ascii="Times New Roman" w:hAnsi="Times New Roman" w:cs="Times New Roman"/>
          <w:szCs w:val="32"/>
        </w:rPr>
        <w:t>预算编制方案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执行政府采购程序，对不符合规定的支出做到事前控制，保证项目资金使用的合规、</w:t>
      </w:r>
      <w:r>
        <w:rPr>
          <w:rFonts w:hint="eastAsia" w:ascii="Times New Roman" w:hAnsi="Times New Roman" w:cs="Times New Roman"/>
          <w:szCs w:val="32"/>
        </w:rPr>
        <w:t>高</w:t>
      </w:r>
      <w:r>
        <w:rPr>
          <w:rFonts w:ascii="Times New Roman" w:hAnsi="Times New Roman" w:cs="Times New Roman"/>
          <w:szCs w:val="32"/>
        </w:rPr>
        <w:t>效。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三、项目组织实施情况</w:t>
      </w:r>
    </w:p>
    <w:p>
      <w:pPr>
        <w:spacing w:line="560" w:lineRule="exact"/>
        <w:ind w:left="640" w:right="318"/>
        <w:jc w:val="left"/>
        <w:rPr>
          <w:rFonts w:ascii="楷体_GB2312" w:hAnsi="黑体" w:eastAsia="楷体_GB2312" w:cs="Times New Roman"/>
          <w:szCs w:val="32"/>
        </w:rPr>
      </w:pPr>
      <w:r>
        <w:rPr>
          <w:rFonts w:ascii="楷体_GB2312" w:hAnsi="黑体" w:eastAsia="楷体_GB2312" w:cs="Times New Roman"/>
          <w:szCs w:val="32"/>
        </w:rPr>
        <w:t>（一）绩效评价目的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本次自评的目的</w:t>
      </w:r>
      <w:r>
        <w:rPr>
          <w:rFonts w:hint="eastAsia" w:ascii="Times New Roman" w:hAnsi="Times New Roman" w:cs="Times New Roman"/>
          <w:szCs w:val="32"/>
          <w:lang w:eastAsia="zh-CN"/>
        </w:rPr>
        <w:t>是</w:t>
      </w:r>
      <w:r>
        <w:rPr>
          <w:rFonts w:hint="eastAsia" w:ascii="Times New Roman" w:hAnsi="Times New Roman" w:cs="Times New Roman"/>
          <w:szCs w:val="32"/>
        </w:rPr>
        <w:t>为了解区统计局202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年度财政资金预算支出的绩效状况，为今后预算安排提供决策支持。通过运用科学合理的绩效评价指标、评价标准和评价方法，对202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年财政拨款支出的经济性、效率性和效益性进行客观、公正的评价。进一步增强支出管理的责任，优化支出结构，提升预算管理水平，提高公务服务质量和财政资金使用效益。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（二）绩效评价原则、方法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遵循客观公正，操作简便高效，尊重客观实际，实事求是的原则，明确工作职责和分工，制定切实可行的评价方案开展绩效评价工作。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（三）绩效评价工作过程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按照绩效自评工作要求，</w:t>
      </w:r>
      <w:r>
        <w:rPr>
          <w:rFonts w:hint="eastAsia" w:ascii="Times New Roman" w:hAnsi="Times New Roman" w:cs="Times New Roman"/>
          <w:szCs w:val="32"/>
        </w:rPr>
        <w:t>成立</w:t>
      </w:r>
      <w:r>
        <w:rPr>
          <w:rFonts w:ascii="Times New Roman" w:hAnsi="Times New Roman" w:cs="Times New Roman"/>
          <w:szCs w:val="32"/>
        </w:rPr>
        <w:t>以主要领导为组长的绩效评价工作领导小组，对相关</w:t>
      </w:r>
      <w:r>
        <w:rPr>
          <w:rFonts w:hint="eastAsia" w:ascii="Times New Roman" w:hAnsi="Times New Roman" w:cs="Times New Roman"/>
          <w:szCs w:val="32"/>
        </w:rPr>
        <w:t>财经</w:t>
      </w:r>
      <w:r>
        <w:rPr>
          <w:rFonts w:ascii="Times New Roman" w:hAnsi="Times New Roman" w:cs="Times New Roman"/>
          <w:szCs w:val="32"/>
        </w:rPr>
        <w:t>法规进行认真学习，掌握政策，根据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收支情况制定部门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支出绩效评价实施方案，组织实施过程中核查202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ascii="Times New Roman" w:hAnsi="Times New Roman" w:cs="Times New Roman"/>
          <w:szCs w:val="32"/>
        </w:rPr>
        <w:t>年同级财政预算批复执行及部门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支出情况</w:t>
      </w:r>
      <w:r>
        <w:rPr>
          <w:rFonts w:hint="eastAsia" w:ascii="Times New Roman" w:hAnsi="Times New Roman" w:cs="Times New Roman"/>
          <w:szCs w:val="32"/>
        </w:rPr>
        <w:t>，“三公”</w:t>
      </w:r>
      <w:r>
        <w:rPr>
          <w:rFonts w:ascii="Times New Roman" w:hAnsi="Times New Roman" w:cs="Times New Roman"/>
          <w:szCs w:val="32"/>
        </w:rPr>
        <w:t>经费及资产管理、内部控制制度</w:t>
      </w:r>
      <w:r>
        <w:rPr>
          <w:rFonts w:hint="eastAsia" w:ascii="Times New Roman" w:hAnsi="Times New Roman" w:cs="Times New Roman"/>
          <w:szCs w:val="32"/>
        </w:rPr>
        <w:t>等</w:t>
      </w:r>
      <w:r>
        <w:rPr>
          <w:rFonts w:ascii="Times New Roman" w:hAnsi="Times New Roman" w:cs="Times New Roman"/>
          <w:szCs w:val="32"/>
        </w:rPr>
        <w:t>情况</w:t>
      </w:r>
      <w:r>
        <w:rPr>
          <w:rFonts w:hint="eastAsia" w:ascii="Times New Roman" w:hAnsi="Times New Roman" w:cs="Times New Roman"/>
          <w:szCs w:val="32"/>
        </w:rPr>
        <w:t>。</w:t>
      </w:r>
      <w:r>
        <w:rPr>
          <w:rFonts w:ascii="Times New Roman" w:hAnsi="Times New Roman" w:cs="Times New Roman"/>
          <w:szCs w:val="32"/>
        </w:rPr>
        <w:t>根据部门职能和年初制定的绩效考核目标，进行实地绩效考评，最后对评价过程中收集的资料进行归纳，汇总分析，依据设定的部门</w:t>
      </w:r>
      <w:r>
        <w:rPr>
          <w:rFonts w:hint="eastAsia" w:ascii="Times New Roman" w:hAnsi="Times New Roman" w:cs="Times New Roman"/>
          <w:szCs w:val="32"/>
        </w:rPr>
        <w:t>项目</w:t>
      </w:r>
      <w:r>
        <w:rPr>
          <w:rFonts w:ascii="Times New Roman" w:hAnsi="Times New Roman" w:cs="Times New Roman"/>
          <w:szCs w:val="32"/>
        </w:rPr>
        <w:t>支出绩效评价指标体系进行评分，形成综合性书面报告</w:t>
      </w:r>
      <w:r>
        <w:rPr>
          <w:rFonts w:hint="eastAsia" w:ascii="Times New Roman" w:hAnsi="Times New Roman" w:cs="Times New Roman"/>
          <w:szCs w:val="32"/>
        </w:rPr>
        <w:t>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（一</w:t>
      </w:r>
      <w:r>
        <w:rPr>
          <w:rFonts w:hint="eastAsia" w:ascii="Times New Roman" w:hAnsi="Times New Roman" w:eastAsia="楷体_GB2312" w:cs="Times New Roman"/>
          <w:szCs w:val="32"/>
        </w:rPr>
        <w:t>）</w:t>
      </w:r>
      <w:r>
        <w:rPr>
          <w:rFonts w:ascii="Times New Roman" w:hAnsi="Times New Roman" w:eastAsia="楷体_GB2312" w:cs="Times New Roman"/>
          <w:szCs w:val="32"/>
        </w:rPr>
        <w:t>项目资金情况分析</w:t>
      </w:r>
    </w:p>
    <w:p>
      <w:pPr>
        <w:spacing w:line="560" w:lineRule="exact"/>
        <w:ind w:left="297" w:leftChars="100" w:firstLine="297" w:firstLineChars="1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szCs w:val="32"/>
        </w:rPr>
        <w:t>年度区统计局共开展7个区级预算项目，</w:t>
      </w:r>
      <w:r>
        <w:rPr>
          <w:rFonts w:hint="eastAsia" w:ascii="Times New Roman" w:hAnsi="Times New Roman" w:cs="Times New Roman"/>
          <w:szCs w:val="32"/>
          <w:lang w:val="en-US" w:eastAsia="zh-CN"/>
        </w:rPr>
        <w:t>2个上级资金挂接项目，1个自有资金采购项目，</w:t>
      </w:r>
      <w:r>
        <w:rPr>
          <w:rFonts w:hint="eastAsia" w:ascii="Times New Roman" w:hAnsi="Times New Roman" w:cs="Times New Roman"/>
          <w:szCs w:val="32"/>
          <w:highlight w:val="none"/>
        </w:rPr>
        <w:t>实际使用</w:t>
      </w:r>
      <w:r>
        <w:rPr>
          <w:rFonts w:hint="eastAsia" w:ascii="Times New Roman" w:hAnsi="Times New Roman" w:cs="Times New Roman"/>
          <w:szCs w:val="32"/>
          <w:highlight w:val="none"/>
          <w:lang w:eastAsia="zh-CN"/>
        </w:rPr>
        <w:t>项目资金</w:t>
      </w:r>
      <w:r>
        <w:rPr>
          <w:rFonts w:hint="eastAsia" w:ascii="Times New Roman" w:hAnsi="Times New Roman" w:cs="Times New Roman"/>
          <w:szCs w:val="32"/>
          <w:highlight w:val="none"/>
          <w:u w:val="none"/>
          <w:lang w:val="en-US" w:eastAsia="zh-CN"/>
        </w:rPr>
        <w:t>118.5354</w:t>
      </w:r>
      <w:r>
        <w:rPr>
          <w:rFonts w:ascii="Times New Roman" w:hAnsi="Times New Roman" w:cs="Times New Roman"/>
          <w:szCs w:val="32"/>
          <w:highlight w:val="none"/>
        </w:rPr>
        <w:t>万元</w:t>
      </w:r>
      <w:r>
        <w:rPr>
          <w:rFonts w:hint="eastAsia" w:ascii="Times New Roman" w:hAnsi="Times New Roman" w:cs="Times New Roman"/>
          <w:szCs w:val="32"/>
          <w:highlight w:val="none"/>
        </w:rPr>
        <w:t>。</w:t>
      </w:r>
      <w:r>
        <w:rPr>
          <w:rFonts w:hint="eastAsia" w:ascii="Times New Roman" w:hAnsi="Times New Roman" w:cs="Times New Roman"/>
          <w:szCs w:val="32"/>
        </w:rPr>
        <w:t>对于区财政下达的各类项目资金，严格</w:t>
      </w:r>
      <w:r>
        <w:rPr>
          <w:rFonts w:ascii="Times New Roman" w:hAnsi="Times New Roman" w:cs="Times New Roman"/>
          <w:szCs w:val="32"/>
        </w:rPr>
        <w:t>按照相关财务制度进行管理</w:t>
      </w:r>
      <w:r>
        <w:rPr>
          <w:rFonts w:hint="eastAsia"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/>
          <w:szCs w:val="32"/>
        </w:rPr>
        <w:t>使用</w:t>
      </w:r>
      <w:r>
        <w:rPr>
          <w:rFonts w:hint="eastAsia" w:ascii="Times New Roman" w:hAnsi="Times New Roman" w:cs="Times New Roman"/>
          <w:szCs w:val="32"/>
        </w:rPr>
        <w:t>，</w:t>
      </w:r>
      <w:r>
        <w:rPr>
          <w:rFonts w:ascii="Times New Roman" w:hAnsi="Times New Roman" w:cs="Times New Roman"/>
          <w:szCs w:val="32"/>
        </w:rPr>
        <w:t>没有出现资金拖沓</w:t>
      </w:r>
      <w:r>
        <w:rPr>
          <w:rFonts w:hint="eastAsia" w:ascii="Times New Roman" w:hAnsi="Times New Roman" w:cs="Times New Roman"/>
          <w:szCs w:val="32"/>
        </w:rPr>
        <w:t>和挪用等现象。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hint="eastAsia" w:ascii="Times New Roman" w:hAnsi="Times New Roman" w:eastAsia="楷体_GB2312" w:cs="Times New Roman"/>
          <w:szCs w:val="32"/>
        </w:rPr>
        <w:t xml:space="preserve">（二） </w:t>
      </w:r>
      <w:r>
        <w:rPr>
          <w:rFonts w:ascii="Times New Roman" w:hAnsi="Times New Roman" w:eastAsia="楷体_GB2312" w:cs="Times New Roman"/>
          <w:szCs w:val="32"/>
        </w:rPr>
        <w:t>项目实施情况分析</w:t>
      </w:r>
    </w:p>
    <w:p>
      <w:pPr>
        <w:spacing w:line="560" w:lineRule="exact"/>
        <w:ind w:firstLine="594" w:firstLineChars="200"/>
        <w:outlineLvl w:val="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按照年初工作安排和预算批复，积极开展各项专业工作，及时拨付各类项目经费，努力做到事前有预算、事中有控制、事后有监督，确保各项统计工作的顺利开展</w:t>
      </w:r>
      <w:r>
        <w:rPr>
          <w:rFonts w:ascii="Times New Roman" w:hAnsi="Times New Roman" w:cs="Times New Roman"/>
          <w:szCs w:val="32"/>
        </w:rPr>
        <w:t>。</w:t>
      </w:r>
    </w:p>
    <w:p>
      <w:pPr>
        <w:spacing w:line="560" w:lineRule="exact"/>
        <w:ind w:left="640" w:right="318"/>
        <w:jc w:val="left"/>
        <w:rPr>
          <w:rFonts w:ascii="Times New Roman" w:hAnsi="Times New Roman" w:eastAsia="楷体_GB2312" w:cs="Times New Roman"/>
          <w:szCs w:val="32"/>
        </w:rPr>
      </w:pPr>
      <w:r>
        <w:rPr>
          <w:rFonts w:ascii="Times New Roman" w:hAnsi="Times New Roman" w:eastAsia="楷体_GB2312" w:cs="Times New Roman"/>
          <w:szCs w:val="32"/>
        </w:rPr>
        <w:t>（三）项目绩效情况分析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1.经济性分析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（1）成本（预算）控制情况：202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年项目支出按照区财政局下达的预算批复，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根据项目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实际开展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进度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均衡支付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项目支出严格按照节约高效的原则，按质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按量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工作任务。</w:t>
      </w:r>
    </w:p>
    <w:p>
      <w:pPr>
        <w:topLinePunct/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2.效率性分析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（1）实施进度：202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年区统计局各项日常性工作正常有效开展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9"/>
        <w:spacing w:line="560" w:lineRule="exact"/>
        <w:ind w:firstLine="594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完成质量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区统计局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各项目工作取得阶段性进展，通过日常安排布置、督促检查等方式有效提升全体干部职工责任意识，切实提升服务能力和水平。在费用性支出中，依据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中央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八项规定及《党政机关厉行节约反对浪费条例》等制度，在保障日常工作正常有序开展的情况下，做到了资金略有结余。项目支出方面，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严格预算资金支出管控，从项目论证、立项、过程监控、绩效管理，实行全过程跟踪问效，切实提高财政资金使用效益。</w:t>
      </w:r>
    </w:p>
    <w:p>
      <w:pPr>
        <w:topLinePunct/>
        <w:spacing w:line="560" w:lineRule="exact"/>
        <w:ind w:firstLine="594" w:firstLineChars="200"/>
        <w:rPr>
          <w:rFonts w:ascii="Times New Roman" w:hAnsi="黑体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五、存在的问题</w:t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一是预算执行进度不均衡，因项目时间安排和经费调整多集中在下半年，故项目资金存在年底较集中的现象。二是实际预算执行过程中，在资金安排和使用上仍存在不可预见性，导致一些项目资金无法如期支出或无法预计列入年初预算，需要在年度中间进行预算调整和追加等问题。</w:t>
      </w:r>
    </w:p>
    <w:p>
      <w:pPr>
        <w:tabs>
          <w:tab w:val="left" w:pos="5346"/>
        </w:tabs>
        <w:spacing w:line="560" w:lineRule="exact"/>
        <w:ind w:firstLine="594" w:firstLineChars="200"/>
        <w:rPr>
          <w:rFonts w:ascii="Times New Roman" w:hAnsi="黑体" w:eastAsia="黑体" w:cs="Times New Roman"/>
        </w:rPr>
      </w:pPr>
      <w:r>
        <w:rPr>
          <w:rFonts w:ascii="Times New Roman" w:hAnsi="黑体" w:eastAsia="黑体" w:cs="Times New Roman"/>
        </w:rPr>
        <w:t>六、下一步工作打算和建议</w:t>
      </w:r>
      <w:r>
        <w:rPr>
          <w:rFonts w:ascii="Times New Roman" w:hAnsi="黑体" w:eastAsia="黑体" w:cs="Times New Roman"/>
        </w:rPr>
        <w:tab/>
      </w:r>
    </w:p>
    <w:p>
      <w:pPr>
        <w:spacing w:line="560" w:lineRule="exact"/>
        <w:ind w:firstLine="594" w:firstLineChars="20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一是加强预算管理。在编制年度预算时，在进行调查研究的基础上，充分论证项目立项的必要性、投入经济性、绩效目标合理性，确保项目可行度。二是细化项目管理。做好各项目支出绩效目标执行中的事中控制，确保项目按期实施，按计划推进。三是定期开展内部检查。出现偏差及时按程序进行必要的调整和变更，不断提高财政资金效益。</w:t>
      </w:r>
    </w:p>
    <w:p>
      <w:pPr>
        <w:spacing w:line="560" w:lineRule="exact"/>
        <w:jc w:val="right"/>
        <w:rPr>
          <w:rFonts w:ascii="Times New Roman" w:hAnsi="Times New Roman" w:cs="Times New Roman"/>
          <w:szCs w:val="32"/>
        </w:rPr>
      </w:pPr>
      <w:bookmarkStart w:id="0" w:name="_GoBack"/>
      <w:bookmarkEnd w:id="0"/>
    </w:p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pStyle w:val="4"/>
        <w:wordWrap w:val="0"/>
        <w:spacing w:beforeAutospacing="0" w:afterAutospacing="0" w:line="370" w:lineRule="atLeast"/>
        <w:ind w:firstLine="430"/>
        <w:jc w:val="right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昆明市呈贡区统计局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szCs w:val="32"/>
        </w:rPr>
        <w:t xml:space="preserve">年 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hint="default" w:ascii="Times New Roman" w:hAnsi="Times New Roman" w:cs="Times New Roman"/>
          <w:szCs w:val="32"/>
          <w:lang w:val="en" w:eastAsia="zh-CN"/>
        </w:rPr>
        <w:t>19</w:t>
      </w:r>
      <w:r>
        <w:rPr>
          <w:rFonts w:hint="eastAsia" w:ascii="Times New Roman" w:hAnsi="Times New Roman" w:cs="Times New Roman"/>
          <w:szCs w:val="32"/>
        </w:rPr>
        <w:t>日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</w:p>
    <w:p>
      <w:pPr>
        <w:spacing w:line="560" w:lineRule="exact"/>
        <w:ind w:firstLine="594" w:firstLineChars="200"/>
        <w:jc w:val="center"/>
        <w:rPr>
          <w:rFonts w:ascii="仿宋_GB2312" w:hAnsi="仿宋_GB2312"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3713"/>
      <w:docPartObj>
        <w:docPartGallery w:val="autotext"/>
      </w:docPartObj>
    </w:sdt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297"/>
  <w:drawingGridVerticalSpacing w:val="30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B18"/>
    <w:rsid w:val="00003933"/>
    <w:rsid w:val="00006FA4"/>
    <w:rsid w:val="0003421E"/>
    <w:rsid w:val="000444C3"/>
    <w:rsid w:val="00052715"/>
    <w:rsid w:val="000545F2"/>
    <w:rsid w:val="00067D8B"/>
    <w:rsid w:val="00086FDF"/>
    <w:rsid w:val="000B53B8"/>
    <w:rsid w:val="000F5217"/>
    <w:rsid w:val="001011AF"/>
    <w:rsid w:val="00120532"/>
    <w:rsid w:val="0015413A"/>
    <w:rsid w:val="0016561A"/>
    <w:rsid w:val="0018005E"/>
    <w:rsid w:val="001B0FC8"/>
    <w:rsid w:val="001B1A9C"/>
    <w:rsid w:val="001B3797"/>
    <w:rsid w:val="001B4355"/>
    <w:rsid w:val="001B5FCD"/>
    <w:rsid w:val="001B713A"/>
    <w:rsid w:val="001D464E"/>
    <w:rsid w:val="001F69FB"/>
    <w:rsid w:val="00263051"/>
    <w:rsid w:val="00275B36"/>
    <w:rsid w:val="00276913"/>
    <w:rsid w:val="00293FB5"/>
    <w:rsid w:val="0029516E"/>
    <w:rsid w:val="002E3AC4"/>
    <w:rsid w:val="002E6E1A"/>
    <w:rsid w:val="00303225"/>
    <w:rsid w:val="00314AA9"/>
    <w:rsid w:val="00317C75"/>
    <w:rsid w:val="00342081"/>
    <w:rsid w:val="003503DB"/>
    <w:rsid w:val="00387425"/>
    <w:rsid w:val="00392B18"/>
    <w:rsid w:val="003A009D"/>
    <w:rsid w:val="003A7D54"/>
    <w:rsid w:val="003B051F"/>
    <w:rsid w:val="003B1FB3"/>
    <w:rsid w:val="003F1A73"/>
    <w:rsid w:val="00423954"/>
    <w:rsid w:val="00423A91"/>
    <w:rsid w:val="0044655E"/>
    <w:rsid w:val="004644B9"/>
    <w:rsid w:val="004678F3"/>
    <w:rsid w:val="00482BD0"/>
    <w:rsid w:val="004B2B64"/>
    <w:rsid w:val="004E2B86"/>
    <w:rsid w:val="00501642"/>
    <w:rsid w:val="00507917"/>
    <w:rsid w:val="00512BA1"/>
    <w:rsid w:val="005365E9"/>
    <w:rsid w:val="0054461F"/>
    <w:rsid w:val="005819EB"/>
    <w:rsid w:val="00590508"/>
    <w:rsid w:val="005923D5"/>
    <w:rsid w:val="00594737"/>
    <w:rsid w:val="005B20DD"/>
    <w:rsid w:val="005B65B0"/>
    <w:rsid w:val="005C4FA9"/>
    <w:rsid w:val="005D7C1D"/>
    <w:rsid w:val="006353AF"/>
    <w:rsid w:val="00643706"/>
    <w:rsid w:val="00652800"/>
    <w:rsid w:val="006529F8"/>
    <w:rsid w:val="0065744E"/>
    <w:rsid w:val="00665A51"/>
    <w:rsid w:val="00676026"/>
    <w:rsid w:val="00682869"/>
    <w:rsid w:val="006A65F7"/>
    <w:rsid w:val="006D0F41"/>
    <w:rsid w:val="006D3440"/>
    <w:rsid w:val="006D354C"/>
    <w:rsid w:val="006E3310"/>
    <w:rsid w:val="006F0714"/>
    <w:rsid w:val="006F4564"/>
    <w:rsid w:val="00717925"/>
    <w:rsid w:val="00720F44"/>
    <w:rsid w:val="00766A9F"/>
    <w:rsid w:val="0077177A"/>
    <w:rsid w:val="00797240"/>
    <w:rsid w:val="007A7CAA"/>
    <w:rsid w:val="007E6268"/>
    <w:rsid w:val="007F75BA"/>
    <w:rsid w:val="007F7CE0"/>
    <w:rsid w:val="0080361B"/>
    <w:rsid w:val="008200C0"/>
    <w:rsid w:val="008238F5"/>
    <w:rsid w:val="008634F3"/>
    <w:rsid w:val="00877D09"/>
    <w:rsid w:val="008A3D28"/>
    <w:rsid w:val="008B6046"/>
    <w:rsid w:val="008D7505"/>
    <w:rsid w:val="008E6445"/>
    <w:rsid w:val="008F670D"/>
    <w:rsid w:val="00903AFA"/>
    <w:rsid w:val="009154F3"/>
    <w:rsid w:val="0091573A"/>
    <w:rsid w:val="009169FC"/>
    <w:rsid w:val="00935C6D"/>
    <w:rsid w:val="0095206D"/>
    <w:rsid w:val="009555EE"/>
    <w:rsid w:val="009562FA"/>
    <w:rsid w:val="00967BA3"/>
    <w:rsid w:val="009736AA"/>
    <w:rsid w:val="00992C34"/>
    <w:rsid w:val="009955C0"/>
    <w:rsid w:val="009A15FC"/>
    <w:rsid w:val="009A6281"/>
    <w:rsid w:val="009E3FA0"/>
    <w:rsid w:val="00A16A4C"/>
    <w:rsid w:val="00A2382B"/>
    <w:rsid w:val="00A53D76"/>
    <w:rsid w:val="00A57935"/>
    <w:rsid w:val="00A646E7"/>
    <w:rsid w:val="00A76B61"/>
    <w:rsid w:val="00A81300"/>
    <w:rsid w:val="00A95878"/>
    <w:rsid w:val="00B055B4"/>
    <w:rsid w:val="00B11A43"/>
    <w:rsid w:val="00B23440"/>
    <w:rsid w:val="00B3225B"/>
    <w:rsid w:val="00B33B0C"/>
    <w:rsid w:val="00B876F5"/>
    <w:rsid w:val="00B87CB0"/>
    <w:rsid w:val="00B9328D"/>
    <w:rsid w:val="00B9329A"/>
    <w:rsid w:val="00B93F18"/>
    <w:rsid w:val="00BB7AA5"/>
    <w:rsid w:val="00BC12F2"/>
    <w:rsid w:val="00BC5511"/>
    <w:rsid w:val="00BE290B"/>
    <w:rsid w:val="00BF04C0"/>
    <w:rsid w:val="00BF4329"/>
    <w:rsid w:val="00BF4E37"/>
    <w:rsid w:val="00C00016"/>
    <w:rsid w:val="00C07804"/>
    <w:rsid w:val="00C11C4C"/>
    <w:rsid w:val="00C245CF"/>
    <w:rsid w:val="00C26F32"/>
    <w:rsid w:val="00C32708"/>
    <w:rsid w:val="00C6703B"/>
    <w:rsid w:val="00C67F1E"/>
    <w:rsid w:val="00C86D38"/>
    <w:rsid w:val="00C9026A"/>
    <w:rsid w:val="00C9288D"/>
    <w:rsid w:val="00CA0002"/>
    <w:rsid w:val="00CC4642"/>
    <w:rsid w:val="00CD67C8"/>
    <w:rsid w:val="00CE48FE"/>
    <w:rsid w:val="00D02792"/>
    <w:rsid w:val="00D212BD"/>
    <w:rsid w:val="00D33A6F"/>
    <w:rsid w:val="00D623BB"/>
    <w:rsid w:val="00D6778E"/>
    <w:rsid w:val="00D707FC"/>
    <w:rsid w:val="00D839BC"/>
    <w:rsid w:val="00D8550E"/>
    <w:rsid w:val="00DA6B1D"/>
    <w:rsid w:val="00DB2580"/>
    <w:rsid w:val="00DB4BE4"/>
    <w:rsid w:val="00DB52B0"/>
    <w:rsid w:val="00DB5502"/>
    <w:rsid w:val="00DC157E"/>
    <w:rsid w:val="00DC537D"/>
    <w:rsid w:val="00DD4D2F"/>
    <w:rsid w:val="00DE0375"/>
    <w:rsid w:val="00DF3849"/>
    <w:rsid w:val="00E043A0"/>
    <w:rsid w:val="00E04AD1"/>
    <w:rsid w:val="00E1306F"/>
    <w:rsid w:val="00E410D7"/>
    <w:rsid w:val="00E42F2E"/>
    <w:rsid w:val="00E5159E"/>
    <w:rsid w:val="00EA4CF1"/>
    <w:rsid w:val="00EA5E2E"/>
    <w:rsid w:val="00EC3664"/>
    <w:rsid w:val="00EC4027"/>
    <w:rsid w:val="00EC6FA8"/>
    <w:rsid w:val="00EE70A3"/>
    <w:rsid w:val="00EF430B"/>
    <w:rsid w:val="00EF53D0"/>
    <w:rsid w:val="00F01B3A"/>
    <w:rsid w:val="00F167E1"/>
    <w:rsid w:val="00F3208B"/>
    <w:rsid w:val="00F326A1"/>
    <w:rsid w:val="00F413AF"/>
    <w:rsid w:val="00F47EE5"/>
    <w:rsid w:val="00F53F4F"/>
    <w:rsid w:val="00F54A01"/>
    <w:rsid w:val="00F647B1"/>
    <w:rsid w:val="00F67058"/>
    <w:rsid w:val="00F73C97"/>
    <w:rsid w:val="00FC638C"/>
    <w:rsid w:val="00FE6EA6"/>
    <w:rsid w:val="00FE7E34"/>
    <w:rsid w:val="01D5031C"/>
    <w:rsid w:val="040F5F9E"/>
    <w:rsid w:val="05AE36CA"/>
    <w:rsid w:val="0FFE6842"/>
    <w:rsid w:val="10595C8A"/>
    <w:rsid w:val="1D3D06BC"/>
    <w:rsid w:val="1FEC1E73"/>
    <w:rsid w:val="1FF626CC"/>
    <w:rsid w:val="210459C5"/>
    <w:rsid w:val="2E783F08"/>
    <w:rsid w:val="378A5996"/>
    <w:rsid w:val="3CFF8F96"/>
    <w:rsid w:val="3D4F46F7"/>
    <w:rsid w:val="3D5730D9"/>
    <w:rsid w:val="4899577F"/>
    <w:rsid w:val="49407628"/>
    <w:rsid w:val="4AA041B5"/>
    <w:rsid w:val="4B3E368A"/>
    <w:rsid w:val="4B57338E"/>
    <w:rsid w:val="4F932D20"/>
    <w:rsid w:val="4FFF6312"/>
    <w:rsid w:val="57D7D67C"/>
    <w:rsid w:val="5A3C6978"/>
    <w:rsid w:val="5FDBD181"/>
    <w:rsid w:val="67600811"/>
    <w:rsid w:val="67ED0931"/>
    <w:rsid w:val="681335C7"/>
    <w:rsid w:val="6BDEDE4B"/>
    <w:rsid w:val="6FEF44EE"/>
    <w:rsid w:val="6FEFC824"/>
    <w:rsid w:val="707B5770"/>
    <w:rsid w:val="74D662F1"/>
    <w:rsid w:val="76EFB601"/>
    <w:rsid w:val="77ED666A"/>
    <w:rsid w:val="77FB325E"/>
    <w:rsid w:val="7A8833B0"/>
    <w:rsid w:val="7B9B7021"/>
    <w:rsid w:val="7DFF7123"/>
    <w:rsid w:val="7F3F58BE"/>
    <w:rsid w:val="7F6F0B23"/>
    <w:rsid w:val="7F77A9C3"/>
    <w:rsid w:val="7FDFEC59"/>
    <w:rsid w:val="7FE53016"/>
    <w:rsid w:val="9BAA15BF"/>
    <w:rsid w:val="9EFF957A"/>
    <w:rsid w:val="A7FB0784"/>
    <w:rsid w:val="AF1756F9"/>
    <w:rsid w:val="AF758582"/>
    <w:rsid w:val="B1FF8962"/>
    <w:rsid w:val="B7BB4C7C"/>
    <w:rsid w:val="BB7BB4E9"/>
    <w:rsid w:val="BDEDD41F"/>
    <w:rsid w:val="BF570CB1"/>
    <w:rsid w:val="BFFF4BCE"/>
    <w:rsid w:val="D2DFBF48"/>
    <w:rsid w:val="D5BEE29D"/>
    <w:rsid w:val="DF7FADA2"/>
    <w:rsid w:val="E7FF44EC"/>
    <w:rsid w:val="EAF76833"/>
    <w:rsid w:val="EB3F1495"/>
    <w:rsid w:val="EDFFD07F"/>
    <w:rsid w:val="EF5E6A57"/>
    <w:rsid w:val="EFF7FE28"/>
    <w:rsid w:val="EFFFC4A5"/>
    <w:rsid w:val="F15FC2C9"/>
    <w:rsid w:val="F9AB1B7B"/>
    <w:rsid w:val="FBB19964"/>
    <w:rsid w:val="FBCEC445"/>
    <w:rsid w:val="FBF98447"/>
    <w:rsid w:val="FC57C5BB"/>
    <w:rsid w:val="FCE99127"/>
    <w:rsid w:val="FEFE3BE1"/>
    <w:rsid w:val="FF3E42DC"/>
    <w:rsid w:val="FF7E0153"/>
    <w:rsid w:val="FF7F1D62"/>
    <w:rsid w:val="FFEA1919"/>
    <w:rsid w:val="FFFB1296"/>
    <w:rsid w:val="FFFBBB10"/>
    <w:rsid w:val="FFFE94C5"/>
    <w:rsid w:val="FFFF9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324</Words>
  <Characters>1849</Characters>
  <Lines>15</Lines>
  <Paragraphs>4</Paragraphs>
  <TotalTime>10</TotalTime>
  <ScaleCrop>false</ScaleCrop>
  <LinksUpToDate>false</LinksUpToDate>
  <CharactersWithSpaces>2169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jyjcg</dc:creator>
  <cp:lastModifiedBy>kmcg</cp:lastModifiedBy>
  <cp:lastPrinted>2021-04-02T08:39:00Z</cp:lastPrinted>
  <dcterms:modified xsi:type="dcterms:W3CDTF">2024-02-21T09:12:30Z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