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tLeast"/>
        <w:jc w:val="both"/>
        <w:textAlignment w:val="auto"/>
        <w:outlineLvl w:val="1"/>
        <w:rPr>
          <w:rFonts w:hint="eastAsia" w:ascii="仿宋" w:hAnsi="仿宋" w:eastAsia="仿宋" w:cs="方正小标宋简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方正小标宋简体"/>
          <w:b/>
          <w:bCs/>
          <w:sz w:val="32"/>
          <w:szCs w:val="32"/>
          <w:lang w:eastAsia="zh-CN"/>
        </w:rPr>
        <w:t>附件：评分办法</w:t>
      </w:r>
    </w:p>
    <w:tbl>
      <w:tblPr>
        <w:tblStyle w:val="15"/>
        <w:tblpPr w:leftFromText="180" w:rightFromText="180" w:vertAnchor="text" w:horzAnchor="page" w:tblpXSpec="center" w:tblpY="430"/>
        <w:tblOverlap w:val="never"/>
        <w:tblW w:w="14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241"/>
        <w:gridCol w:w="1078"/>
      </w:tblGrid>
      <w:tr w14:paraId="7BCD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59" w:type="dxa"/>
            <w:vAlign w:val="center"/>
          </w:tcPr>
          <w:p w14:paraId="64CA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评分项目</w:t>
            </w:r>
          </w:p>
        </w:tc>
        <w:tc>
          <w:tcPr>
            <w:tcW w:w="12241" w:type="dxa"/>
            <w:vAlign w:val="center"/>
          </w:tcPr>
          <w:p w14:paraId="3EAC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评分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规则</w:t>
            </w:r>
          </w:p>
        </w:tc>
        <w:tc>
          <w:tcPr>
            <w:tcW w:w="1078" w:type="dxa"/>
            <w:vAlign w:val="center"/>
          </w:tcPr>
          <w:p w14:paraId="3FC128AB">
            <w:pPr>
              <w:keepNext w:val="0"/>
              <w:keepLines w:val="0"/>
              <w:pageBreakBefore w:val="0"/>
              <w:widowControl w:val="0"/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得分</w:t>
            </w:r>
          </w:p>
        </w:tc>
      </w:tr>
      <w:tr w14:paraId="123E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659" w:type="dxa"/>
            <w:vAlign w:val="center"/>
          </w:tcPr>
          <w:p w14:paraId="06FC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投标报价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50分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</w:tc>
        <w:tc>
          <w:tcPr>
            <w:tcW w:w="12241" w:type="dxa"/>
            <w:vAlign w:val="center"/>
          </w:tcPr>
          <w:p w14:paraId="63F7A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投标报价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得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  <w:lang w:eastAsia="zh-CN"/>
              </w:rPr>
              <w:t>分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  <w:lang w:val="en-US" w:eastAsia="zh-CN"/>
              </w:rPr>
              <w:t>=（评标基准价/投标报价）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价格权值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（2）评标基准价为最低投标报价。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价格权值：混凝土立方体抗压强度(含养护)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50%、混凝土抗渗实验(含养护)5%、砂浆抗压强度(含养护)5%、混凝土抗折强度（含养护）5%、配合比（普通混凝土）含原材料检验15%、配合比（抗渗混凝土）含原材料检验5%、配合比（高强混凝土）含原材料检验5%、配合比（抗折混凝土）含原材料检验5%、配合比（砂浆）含原材料检验5%。</w:t>
            </w:r>
          </w:p>
        </w:tc>
        <w:tc>
          <w:tcPr>
            <w:tcW w:w="1078" w:type="dxa"/>
            <w:vAlign w:val="center"/>
          </w:tcPr>
          <w:p w14:paraId="30F0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51EA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9" w:type="dxa"/>
            <w:vAlign w:val="center"/>
          </w:tcPr>
          <w:p w14:paraId="2F1C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服务实施</w:t>
            </w:r>
            <w:r>
              <w:rPr>
                <w:rFonts w:hint="eastAsia" w:ascii="仿宋" w:hAnsi="仿宋" w:eastAsia="仿宋" w:cs="仿宋_GB2312"/>
                <w:sz w:val="24"/>
              </w:rPr>
              <w:t>方案（满分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610F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服务实施方案切实可行，并且具有较强的可操作性，能充分考虑用户需求的，得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16-20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0E11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服务实施方案基本完整，基本考虑用户需求，但方案中具体措施结合所投标段实际情况不够的，得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_GB2312"/>
                <w:sz w:val="24"/>
              </w:rPr>
              <w:t>-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4C6A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服务实施方案有欠缺的，得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</w:rPr>
              <w:t>-9分；</w:t>
            </w:r>
          </w:p>
          <w:p w14:paraId="7D3F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无项目实施方案的，得0分。</w:t>
            </w:r>
          </w:p>
        </w:tc>
        <w:tc>
          <w:tcPr>
            <w:tcW w:w="1078" w:type="dxa"/>
            <w:vAlign w:val="center"/>
          </w:tcPr>
          <w:p w14:paraId="6957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76EC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659" w:type="dxa"/>
            <w:vAlign w:val="center"/>
          </w:tcPr>
          <w:p w14:paraId="3F76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拟派往本项目组织机构</w:t>
            </w:r>
          </w:p>
          <w:p w14:paraId="61CC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和人员配置</w:t>
            </w:r>
            <w:r>
              <w:rPr>
                <w:rFonts w:hint="eastAsia" w:ascii="仿宋" w:hAnsi="仿宋" w:eastAsia="仿宋" w:cs="仿宋_GB2312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5925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</w:rPr>
              <w:t>1）项目组织机构管理体系完善，针对性强，有科学严谨的管理程序，专业配置合理齐全的得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  <w:r>
              <w:rPr>
                <w:rFonts w:hint="eastAsia" w:ascii="仿宋" w:hAnsi="仿宋" w:eastAsia="仿宋" w:cs="仿宋_GB2312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（2）项目组织机构管理体系完善，有针对性，有管理程序，专业配置基本合理的得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1-5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5ADD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（3）没有组织机构和人员配置的不得分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。</w:t>
            </w:r>
          </w:p>
          <w:p w14:paraId="674D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项目组成员每有一位中级专业技术人员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加</w:t>
            </w:r>
            <w:r>
              <w:rPr>
                <w:rFonts w:hint="eastAsia" w:ascii="仿宋" w:hAnsi="仿宋" w:eastAsia="仿宋" w:cs="仿宋_GB2312"/>
                <w:sz w:val="24"/>
              </w:rPr>
              <w:t>1分，最高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加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</w:rPr>
              <w:t>分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，满分不超过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。 </w:t>
            </w:r>
          </w:p>
        </w:tc>
        <w:tc>
          <w:tcPr>
            <w:tcW w:w="1078" w:type="dxa"/>
            <w:vAlign w:val="center"/>
          </w:tcPr>
          <w:p w14:paraId="1499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334A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59" w:type="dxa"/>
            <w:vAlign w:val="center"/>
          </w:tcPr>
          <w:p w14:paraId="7410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工作进度计划及保证措施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1364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（1）检测内容严格按投标工期安排，检测工序搭配逻辑关系清晰、合理，并能指导检测工作且针对性好的得 7-10分 。</w:t>
            </w:r>
          </w:p>
          <w:p w14:paraId="372B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（2）检测内容按投标工期安排，检测工序搭配逻辑关系合理，但针对性一般的得 5-6分 ；</w:t>
            </w:r>
          </w:p>
          <w:p w14:paraId="1A6D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（3）检测内容符合投标工期要求，检测工序搭配逻辑关系基本合理，但缺乏针对性的得 3-4分 ；</w:t>
            </w:r>
          </w:p>
          <w:p w14:paraId="5AEB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（4）检测计划中工序搭配逻辑关系有错误的得 1-2分 ；</w:t>
            </w:r>
          </w:p>
          <w:p w14:paraId="24DD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（5）无检测计划及保证措施的不得分。</w:t>
            </w:r>
          </w:p>
        </w:tc>
        <w:tc>
          <w:tcPr>
            <w:tcW w:w="1078" w:type="dxa"/>
            <w:vAlign w:val="center"/>
          </w:tcPr>
          <w:p w14:paraId="6D0B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46C5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59" w:type="dxa"/>
            <w:vAlign w:val="center"/>
          </w:tcPr>
          <w:p w14:paraId="5BE5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服务质量承诺及保证措施</w:t>
            </w:r>
            <w:r>
              <w:rPr>
                <w:rFonts w:hint="eastAsia" w:ascii="仿宋" w:hAnsi="仿宋" w:eastAsia="仿宋" w:cs="仿宋_GB2312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495A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服务质量保障措施及承诺阐述特别全面，合理、可行，能较好的满足用户的需求，得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4-5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0C0F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服务质量保证措施及承诺阐述基本全面、合理、可行，能基本满足用户的需求，得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</w:rPr>
              <w:t>-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3559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服务质量保证措施及承诺阐述较粗略，合理性、可行性较差，难以满足用户需求的，得1-2分。</w:t>
            </w:r>
          </w:p>
          <w:p w14:paraId="7EA8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无服务质量承诺及保证措施方案，得0分</w:t>
            </w:r>
          </w:p>
        </w:tc>
        <w:tc>
          <w:tcPr>
            <w:tcW w:w="1078" w:type="dxa"/>
            <w:vAlign w:val="center"/>
          </w:tcPr>
          <w:p w14:paraId="2838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5351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59" w:type="dxa"/>
            <w:vAlign w:val="center"/>
          </w:tcPr>
          <w:p w14:paraId="1C55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企业业绩</w:t>
            </w:r>
            <w:r>
              <w:rPr>
                <w:rFonts w:hint="eastAsia" w:ascii="仿宋" w:hAnsi="仿宋" w:eastAsia="仿宋" w:cs="仿宋_GB2312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5D7E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2" w:leftChars="-17" w:hanging="38" w:hangingChars="16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年至今，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承担过至少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一个相关见证取样检测业绩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得3分；每增加一个检测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分，分数加满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分为止。</w:t>
            </w:r>
          </w:p>
        </w:tc>
        <w:tc>
          <w:tcPr>
            <w:tcW w:w="1078" w:type="dxa"/>
            <w:vAlign w:val="center"/>
          </w:tcPr>
          <w:p w14:paraId="77AC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</w:tbl>
    <w:p w14:paraId="31474F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 w:cs="仿宋_GB2312"/>
          <w:vanish/>
          <w:sz w:val="32"/>
          <w:szCs w:val="32"/>
        </w:rPr>
      </w:pPr>
    </w:p>
    <w:sectPr>
      <w:type w:val="continuous"/>
      <w:pgSz w:w="16838" w:h="11906" w:orient="landscape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4548862-39CB-4966-924D-43579C2682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1C690E-1AC1-4675-8B62-1EC14784DDE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271485-428A-4C20-BDF6-3D6C947DE5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2NiYmUzNzVmZDQ1ZWZlOWEwMjY5ZDI0Y2M3NmEifQ=="/>
  </w:docVars>
  <w:rsids>
    <w:rsidRoot w:val="00075E6B"/>
    <w:rsid w:val="00033352"/>
    <w:rsid w:val="00075E6B"/>
    <w:rsid w:val="000D002C"/>
    <w:rsid w:val="000E7D19"/>
    <w:rsid w:val="001B2AC2"/>
    <w:rsid w:val="001B4CD4"/>
    <w:rsid w:val="00203EBF"/>
    <w:rsid w:val="00232320"/>
    <w:rsid w:val="002B70C6"/>
    <w:rsid w:val="00325F61"/>
    <w:rsid w:val="00373E62"/>
    <w:rsid w:val="00486411"/>
    <w:rsid w:val="004D1F65"/>
    <w:rsid w:val="00520092"/>
    <w:rsid w:val="00537525"/>
    <w:rsid w:val="00595CAA"/>
    <w:rsid w:val="00631A06"/>
    <w:rsid w:val="0067601B"/>
    <w:rsid w:val="00710EE0"/>
    <w:rsid w:val="00725679"/>
    <w:rsid w:val="007D7350"/>
    <w:rsid w:val="008215E0"/>
    <w:rsid w:val="00875555"/>
    <w:rsid w:val="0090172C"/>
    <w:rsid w:val="009322A7"/>
    <w:rsid w:val="00986600"/>
    <w:rsid w:val="00A01931"/>
    <w:rsid w:val="00A42F22"/>
    <w:rsid w:val="00A6327D"/>
    <w:rsid w:val="00AA4B5F"/>
    <w:rsid w:val="00AF4CE5"/>
    <w:rsid w:val="00B67714"/>
    <w:rsid w:val="00C031A2"/>
    <w:rsid w:val="00C10625"/>
    <w:rsid w:val="00C30EDB"/>
    <w:rsid w:val="00CF2D6E"/>
    <w:rsid w:val="00D20EEA"/>
    <w:rsid w:val="00D52508"/>
    <w:rsid w:val="00D6792C"/>
    <w:rsid w:val="00DA666B"/>
    <w:rsid w:val="00E22449"/>
    <w:rsid w:val="00E23C63"/>
    <w:rsid w:val="00E5352B"/>
    <w:rsid w:val="00F16398"/>
    <w:rsid w:val="00F351D2"/>
    <w:rsid w:val="00F429B2"/>
    <w:rsid w:val="00FE031D"/>
    <w:rsid w:val="06801C3B"/>
    <w:rsid w:val="06C47189"/>
    <w:rsid w:val="13F866C4"/>
    <w:rsid w:val="141E041F"/>
    <w:rsid w:val="1FEEB551"/>
    <w:rsid w:val="2310682A"/>
    <w:rsid w:val="27FF5698"/>
    <w:rsid w:val="33834057"/>
    <w:rsid w:val="3826083F"/>
    <w:rsid w:val="3B25B010"/>
    <w:rsid w:val="3C3E0521"/>
    <w:rsid w:val="3DCA3313"/>
    <w:rsid w:val="3E9FD2B8"/>
    <w:rsid w:val="3FAC4583"/>
    <w:rsid w:val="3FC1E2D5"/>
    <w:rsid w:val="3FDE9619"/>
    <w:rsid w:val="43A23DD3"/>
    <w:rsid w:val="486301A2"/>
    <w:rsid w:val="49D8128A"/>
    <w:rsid w:val="4AA816C0"/>
    <w:rsid w:val="4FF5F254"/>
    <w:rsid w:val="4FF82FCD"/>
    <w:rsid w:val="50CE2A9D"/>
    <w:rsid w:val="51906F4E"/>
    <w:rsid w:val="52A940D5"/>
    <w:rsid w:val="57AF490E"/>
    <w:rsid w:val="59090053"/>
    <w:rsid w:val="5AFA953C"/>
    <w:rsid w:val="5B9D7B5D"/>
    <w:rsid w:val="5CFF29D0"/>
    <w:rsid w:val="5D5F43E7"/>
    <w:rsid w:val="5D6E9F19"/>
    <w:rsid w:val="5DD6CB0E"/>
    <w:rsid w:val="658C7FE7"/>
    <w:rsid w:val="67EE528A"/>
    <w:rsid w:val="69CC30A8"/>
    <w:rsid w:val="6B3E1D84"/>
    <w:rsid w:val="6BF765C2"/>
    <w:rsid w:val="6D376E8E"/>
    <w:rsid w:val="6E6715F2"/>
    <w:rsid w:val="6F7FDD2E"/>
    <w:rsid w:val="6FBBEA9E"/>
    <w:rsid w:val="6FBDC645"/>
    <w:rsid w:val="75BA280D"/>
    <w:rsid w:val="761FC4A6"/>
    <w:rsid w:val="76FBF215"/>
    <w:rsid w:val="77FFC93A"/>
    <w:rsid w:val="798703B7"/>
    <w:rsid w:val="79FFD494"/>
    <w:rsid w:val="7A546ECE"/>
    <w:rsid w:val="7B2FE960"/>
    <w:rsid w:val="7B705F89"/>
    <w:rsid w:val="7B9F09B6"/>
    <w:rsid w:val="7D2D7077"/>
    <w:rsid w:val="7D6E8FF4"/>
    <w:rsid w:val="7DFF9F46"/>
    <w:rsid w:val="7F7DACDA"/>
    <w:rsid w:val="7FDC09DD"/>
    <w:rsid w:val="7FF52F01"/>
    <w:rsid w:val="7FFA047D"/>
    <w:rsid w:val="867E73EC"/>
    <w:rsid w:val="93B61393"/>
    <w:rsid w:val="95FFA1C2"/>
    <w:rsid w:val="AFF7A4D4"/>
    <w:rsid w:val="B599EF18"/>
    <w:rsid w:val="B7EFE511"/>
    <w:rsid w:val="BFCB9F91"/>
    <w:rsid w:val="C77F25A8"/>
    <w:rsid w:val="CBBC2D6A"/>
    <w:rsid w:val="CF9F9BFB"/>
    <w:rsid w:val="D5DB4E80"/>
    <w:rsid w:val="D72F988A"/>
    <w:rsid w:val="DB6EE283"/>
    <w:rsid w:val="DCC77E01"/>
    <w:rsid w:val="DDFFD4FA"/>
    <w:rsid w:val="DE1FBBE1"/>
    <w:rsid w:val="DF6FA382"/>
    <w:rsid w:val="DFE8F55F"/>
    <w:rsid w:val="DFFCDF85"/>
    <w:rsid w:val="E5B3C747"/>
    <w:rsid w:val="E6F75763"/>
    <w:rsid w:val="EDBF55A5"/>
    <w:rsid w:val="EFCF4081"/>
    <w:rsid w:val="F3FD0BAB"/>
    <w:rsid w:val="F3FF3761"/>
    <w:rsid w:val="F5F7F251"/>
    <w:rsid w:val="F6FEDC3E"/>
    <w:rsid w:val="F77F3BD0"/>
    <w:rsid w:val="F7FFBDAC"/>
    <w:rsid w:val="F95D4EF5"/>
    <w:rsid w:val="FAD15435"/>
    <w:rsid w:val="FDFFC4A9"/>
    <w:rsid w:val="FECEB3E1"/>
    <w:rsid w:val="FEEFD711"/>
    <w:rsid w:val="FF5F3847"/>
    <w:rsid w:val="FFE99AE7"/>
    <w:rsid w:val="FFF5C803"/>
    <w:rsid w:val="FFF685B1"/>
    <w:rsid w:val="FFFB9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6"/>
    <w:next w:val="6"/>
    <w:link w:val="19"/>
    <w:semiHidden/>
    <w:unhideWhenUsed/>
    <w:qFormat/>
    <w:uiPriority w:val="99"/>
    <w:pPr>
      <w:spacing w:after="120"/>
    </w:pPr>
  </w:style>
  <w:style w:type="paragraph" w:customStyle="1" w:styleId="6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7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link w:val="23"/>
    <w:qFormat/>
    <w:uiPriority w:val="99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9">
    <w:name w:val="Body Text Indent 2"/>
    <w:basedOn w:val="1"/>
    <w:link w:val="22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link w:val="24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 2"/>
    <w:basedOn w:val="7"/>
    <w:link w:val="21"/>
    <w:semiHidden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18">
    <w:name w:val="页脚 Char"/>
    <w:basedOn w:val="16"/>
    <w:link w:val="10"/>
    <w:qFormat/>
    <w:uiPriority w:val="99"/>
    <w:rPr>
      <w:sz w:val="18"/>
      <w:szCs w:val="18"/>
    </w:rPr>
  </w:style>
  <w:style w:type="character" w:customStyle="1" w:styleId="19">
    <w:name w:val="正文文本 Char"/>
    <w:basedOn w:val="16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正文文本缩进 Char"/>
    <w:basedOn w:val="16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正文首行缩进 2 Char"/>
    <w:basedOn w:val="20"/>
    <w:link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2 Char"/>
    <w:basedOn w:val="16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纯文本 Char"/>
    <w:basedOn w:val="16"/>
    <w:link w:val="8"/>
    <w:qFormat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24">
    <w:name w:val="正文文本 2 Char"/>
    <w:basedOn w:val="16"/>
    <w:link w:val="1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956</Words>
  <Characters>1008</Characters>
  <Lines>14</Lines>
  <Paragraphs>4</Paragraphs>
  <TotalTime>11</TotalTime>
  <ScaleCrop>false</ScaleCrop>
  <LinksUpToDate>false</LinksUpToDate>
  <CharactersWithSpaces>1017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2023-10-14T21:12:00Z</dcterms:created>
  <dc:creator>WYZB</dc:creator>
  <cp:lastModifiedBy>tyc</cp:lastModifiedBy>
  <cp:lastPrinted>2024-07-15T03:14:00Z</cp:lastPrinted>
  <dcterms:modified xsi:type="dcterms:W3CDTF">2024-07-18T02:27:51Z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B015F3BD913040789E5370B547E656CF_13</vt:lpwstr>
  </property>
</Properties>
</file>