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昆明市呈贡区水务局2024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呈贡区流域防洪规划编制技术服务项目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呈贡区流域防洪规划编制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无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昆明市呈贡区水务局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 w:bidi="ar"/>
        </w:rPr>
        <w:t>115301210151293846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地址：昆明市呈贡区惠景园D7栋9楼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67478333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王吉庆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color w:val="000000"/>
          <w:kern w:val="0"/>
          <w:sz w:val="30"/>
          <w:szCs w:val="30"/>
        </w:rPr>
        <w:t>区级财政资金</w:t>
      </w:r>
    </w:p>
    <w:p>
      <w:pPr>
        <w:widowControl/>
        <w:spacing w:line="600" w:lineRule="exact"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单位概况：呈贡区水务局为区政府工作部门，正科级。内设机构4个：办公室、规划建设科（加挂水利工程建设质量监督科）、水资源管理科（加挂行政审批服务科）、滇池河道管理科（加挂河长制办公室）。</w:t>
      </w:r>
    </w:p>
    <w:p>
      <w:pPr>
        <w:widowControl/>
        <w:spacing w:line="600" w:lineRule="exact"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主要职责职能:宣传贯彻执行国家水行政、滇池保护方针政策和法律法规。牵头河（湖）长制工作，负责拟订辖区滇池保护工作规范性、指导性文件，落实辖区滇池水污染防治规划和滇池治理目标。组织辖区内水资源利用和保护工作，宣传贯彻落实水资源管理“三条红线”制度，负责饮用水水源监督管理工作。负责拟订辖区内计划用水、节约用水方案，贯彻落实节水“三同时”制度。承担辖区内水事活动的行政管理职责，负责辖区滇池渔业资源行政管理。组织小（二）型及以下水利基建项目建设，负责组织、指导辖区内水库坝塘水利设施管理和保护。负责辖区内城市排水管理工作，指导、协调全区防汛、抗旱防御工作。负责水利行业安全生产工作，组织、指导水库移民的管理工作。负责水土保持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完成《昆明市呈贡区流域防洪规划报告》及数据库、矢量文件图等资料编制工作。通知中明确，县级水务部门应落实技术支撑单位，积极筹措资金，确保高质量完成规划修编任务；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要依据江河流域综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合规划，做好流域防洪减灾规划布局，并与“十四五”水安全保障规划、水网建设规划、水资源综合规划等水利相关规划相协调。加强与相关部门的沟通协调，深入调研相关区域和行业发展对防洪的需求，与发展规划、空间规划、区域规划、有关专项规划相衔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呈贡区流域防洪规划编制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呈贡区流域防洪规划编制技术服务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费用5万元。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开展前期工作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呈贡区流域防洪规划编制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对后期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呈贡区城市防洪体系建设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发挥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指导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意义。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  <w:bookmarkStart w:id="0" w:name="_GoBack"/>
      <w:bookmarkEnd w:id="0"/>
    </w:p>
    <w:tbl>
      <w:tblPr>
        <w:tblStyle w:val="7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568"/>
        <w:gridCol w:w="569"/>
        <w:gridCol w:w="341"/>
        <w:gridCol w:w="1049"/>
        <w:gridCol w:w="430"/>
        <w:gridCol w:w="1591"/>
        <w:gridCol w:w="1011"/>
        <w:gridCol w:w="1007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按照省市要求完成昆明市呈贡区流域防洪规划报告编制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6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按照省市要求完成昆明市呈贡区流域防洪规划报告编制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完成报告编制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未完成报告编制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完成报告编制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验收通过率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未通过验收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报告是否通过验收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报告是否通过验收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报告对呈贡区防洪体系建设的指导性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无指导意义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报告对呈贡区防洪体系建设有无指导意义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报告对呈贡区防洪体系建设有无指导意义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建设单位对报告满意度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建设单位对报告是否满意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建设单位对报告是否满意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建设单位对报告是否满意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TYwY2RlYTkzMGU0NGU3OTU1YWNjZDBjYzExOTIifQ=="/>
  </w:docVars>
  <w:rsids>
    <w:rsidRoot w:val="00172A27"/>
    <w:rsid w:val="06E94517"/>
    <w:rsid w:val="12EF4BA0"/>
    <w:rsid w:val="135915A9"/>
    <w:rsid w:val="14C84A45"/>
    <w:rsid w:val="1BB42929"/>
    <w:rsid w:val="1C793575"/>
    <w:rsid w:val="2B620B9B"/>
    <w:rsid w:val="2BC273F5"/>
    <w:rsid w:val="37645965"/>
    <w:rsid w:val="37F34FB7"/>
    <w:rsid w:val="3B5A363D"/>
    <w:rsid w:val="3E4660FB"/>
    <w:rsid w:val="435E0960"/>
    <w:rsid w:val="4A7453D3"/>
    <w:rsid w:val="504A7C3E"/>
    <w:rsid w:val="51574F5F"/>
    <w:rsid w:val="58B21108"/>
    <w:rsid w:val="66644027"/>
    <w:rsid w:val="668D62D3"/>
    <w:rsid w:val="6FE26175"/>
    <w:rsid w:val="73937120"/>
    <w:rsid w:val="7FB86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2</Pages>
  <Words>21</Words>
  <Characters>123</Characters>
  <Lines>1</Lines>
  <Paragraphs>1</Paragraphs>
  <TotalTime>156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2020-02-03T08:13:00Z</cp:lastPrinted>
  <dcterms:modified xsi:type="dcterms:W3CDTF">2024-03-26T06:08:14Z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639A32BBAD4D45D398F4CC7313F0C676_12</vt:lpwstr>
  </property>
</Properties>
</file>