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昆明市呈贡区水务局2024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呈贡区城市内涝淹积水点治理工程项目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呈贡区城市内涝淹积水点治理工程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昆明市呈贡区水务局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 w:bidi="ar"/>
        </w:rPr>
        <w:t>115301210151293846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地址：昆明市呈贡区惠景园D7栋9楼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67478333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王吉庆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财政补助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  <w:r>
        <w:rPr>
          <w:rFonts w:hint="eastAsia" w:ascii="仿宋_GB2312" w:eastAsia="仿宋_GB2312"/>
          <w:kern w:val="0"/>
          <w:sz w:val="30"/>
          <w:szCs w:val="30"/>
        </w:rPr>
        <w:t>呈贡区水务局为区政府工作部门，正科级。内设机构4个：办公室、规划建设科（加挂水利工程建设质量监督科）、水资源管理科（加挂行政审批服务科）、滇池河道管理科（加挂河长制办公室）。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</w:rPr>
        <w:t>主要职责职能:宣传贯彻执行国家水行政、滇池保护方针政策和法律法规。牵头河（湖）长制工作，负责拟订辖区滇池保护工作规范性、指导性文件，落实辖区滇池水污染防治规划和滇池治理目标。组织辖区内水资源利用和保护工作，宣传贯彻落实水资源管理“三条红线”制度，负责饮用水水源监督管理工作。负责拟订辖区内计划用水、节约用水方案，贯彻落实节水“三同时”制度。承担辖区内水事活动的行政管理职责，负责辖区滇池渔业资源行政管理。组织小（二）型及以下水利基建项目建设，负责组织、指导辖区内水库坝塘水利设施管理和保护。负责辖区内城市排水管理工作，指导、协调全区防汛、抗旱防御工作。负责水利行业安全生产工作，组织、指导水库移民的管理工作。负责水土保持工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为完善呈贡区城市防洪排涝体系，提高城市防汛排涝能力，减小城市内涝造成的不利影响，有效提升防汛应急抢险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效率，减轻城市防汛压力，缓解区域排涝问题，优化人居环境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保障汛期群众出行安全。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通过呈贡区城市内涝淹积水点治理工程项目，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呈贡区城市防洪排涝体系，提高城市防汛排涝能力，有效提升防汛应急抢险处置工作效率。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呈贡区城市内涝淹积水点治理工程项目前期可研编制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呈贡区城市内涝淹积水点治理工程项目前期可研编制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费用：20万元。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开展前期工作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ascii="黑体" w:hAnsi="黑体" w:eastAsia="仿宋_GB2312" w:cs="黑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项目前期可研编制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对后期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呈贡区城市内涝淹积水点治理工程项目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开展提供依据。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7"/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657"/>
        <w:gridCol w:w="656"/>
        <w:gridCol w:w="394"/>
        <w:gridCol w:w="1210"/>
        <w:gridCol w:w="496"/>
        <w:gridCol w:w="554"/>
        <w:gridCol w:w="1166"/>
        <w:gridCol w:w="1161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62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实施呈贡区城市内涝淹积水点治理工程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62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开展前期工作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完成可研报告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未完成报告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形成最终研究报告1个。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形成最终研究报告1个。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验收通过率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报告未通过专家评审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报告是否通过专家评审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报告是否通过专家评审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研究成果采纳率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未通过上级部门审查审批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通过上级部门审查审批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通过上级部门审查审批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建设单位对报告不满意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建设单位对报告是否满意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建设单位对报告是否满意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TYwY2RlYTkzMGU0NGU3OTU1YWNjZDBjYzExOTIifQ=="/>
  </w:docVars>
  <w:rsids>
    <w:rsidRoot w:val="00172A27"/>
    <w:rsid w:val="06E94517"/>
    <w:rsid w:val="135915A9"/>
    <w:rsid w:val="1BB42929"/>
    <w:rsid w:val="29966490"/>
    <w:rsid w:val="2B620B9B"/>
    <w:rsid w:val="37645965"/>
    <w:rsid w:val="37F34FB7"/>
    <w:rsid w:val="3B5A363D"/>
    <w:rsid w:val="3E4660FB"/>
    <w:rsid w:val="435E0960"/>
    <w:rsid w:val="4ECC01B7"/>
    <w:rsid w:val="504A7C3E"/>
    <w:rsid w:val="6722077A"/>
    <w:rsid w:val="789D5BD8"/>
    <w:rsid w:val="7FB86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2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Lenovo</cp:lastModifiedBy>
  <cp:lastPrinted>2020-02-03T08:13:00Z</cp:lastPrinted>
  <dcterms:modified xsi:type="dcterms:W3CDTF">2024-03-26T02:12:51Z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639A32BBAD4D45D398F4CC7313F0C676_12</vt:lpwstr>
  </property>
</Properties>
</file>