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880" w:firstLineChars="200"/>
        <w:jc w:val="center"/>
        <w:textAlignment w:val="auto"/>
        <w:rPr>
          <w:rFonts w:hint="eastAsia" w:ascii="宋体" w:hAnsi="宋体" w:eastAsia="宋体" w:cs="宋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880" w:firstLineChars="200"/>
        <w:jc w:val="center"/>
        <w:textAlignment w:val="auto"/>
        <w:rPr>
          <w:rFonts w:hint="eastAsia" w:ascii="宋体" w:hAnsi="宋体" w:eastAsia="宋体" w:cs="宋体"/>
          <w:sz w:val="44"/>
          <w:szCs w:val="44"/>
        </w:rPr>
      </w:pPr>
      <w:r>
        <w:rPr>
          <w:rFonts w:hint="eastAsia" w:ascii="宋体" w:hAnsi="宋体" w:eastAsia="宋体" w:cs="宋体"/>
          <w:sz w:val="44"/>
          <w:szCs w:val="44"/>
        </w:rPr>
        <w:t>昆明市呈贡区人民政府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center"/>
        <w:textAlignment w:val="auto"/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</w:pPr>
      <w:r>
        <w:rPr>
          <w:rFonts w:hint="eastAsia" w:ascii="宋体" w:hAnsi="宋体" w:eastAsia="宋体" w:cs="宋体"/>
          <w:spacing w:val="0"/>
          <w:w w:val="100"/>
          <w:sz w:val="44"/>
          <w:szCs w:val="44"/>
        </w:rPr>
        <w:t>关于废止</w:t>
      </w:r>
      <w:r>
        <w:rPr>
          <w:rFonts w:hint="eastAsia" w:ascii="宋体" w:hAnsi="宋体" w:eastAsia="宋体" w:cs="宋体"/>
          <w:color w:val="auto"/>
          <w:kern w:val="0"/>
          <w:sz w:val="44"/>
          <w:szCs w:val="44"/>
          <w:highlight w:val="none"/>
          <w:lang w:val="en-US" w:eastAsia="zh-CN" w:bidi="ar"/>
        </w:rPr>
        <w:t>《关于印发呈贡县社区集体资金资产资源监督管理暂行规定的通知》呈政发〔2011〕8号、昆府规登准〔2011〕2号）</w:t>
      </w:r>
      <w:r>
        <w:rPr>
          <w:rFonts w:hint="eastAsia" w:ascii="宋体" w:hAnsi="宋体" w:eastAsia="宋体" w:cs="宋体"/>
          <w:sz w:val="44"/>
          <w:szCs w:val="44"/>
        </w:rPr>
        <w:t>的</w:t>
      </w:r>
      <w:r>
        <w:rPr>
          <w:rFonts w:hint="eastAsia" w:ascii="宋体" w:hAnsi="宋体" w:eastAsia="宋体" w:cs="宋体"/>
          <w:sz w:val="44"/>
          <w:szCs w:val="44"/>
          <w:lang w:eastAsia="zh-CN"/>
        </w:rPr>
        <w:t>决定</w:t>
      </w:r>
    </w:p>
    <w:p>
      <w:pPr>
        <w:keepNext w:val="0"/>
        <w:keepLines w:val="0"/>
        <w:pageBreakBefore w:val="0"/>
        <w:widowControl w:val="0"/>
        <w:tabs>
          <w:tab w:val="left" w:pos="360"/>
          <w:tab w:val="left" w:pos="8213"/>
          <w:tab w:val="left" w:pos="8623"/>
        </w:tabs>
        <w:kinsoku/>
        <w:wordWrap/>
        <w:overflowPunct/>
        <w:topLinePunct w:val="0"/>
        <w:autoSpaceDE/>
        <w:autoSpaceDN/>
        <w:bidi w:val="0"/>
        <w:adjustRightInd/>
        <w:spacing w:line="240" w:lineRule="auto"/>
        <w:ind w:right="210" w:rightChars="100" w:firstLine="640" w:firstLineChars="200"/>
        <w:jc w:val="center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呈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政</w:t>
      </w:r>
      <w:r>
        <w:rPr>
          <w:rFonts w:hint="eastAsia" w:ascii="楷体_GB2312" w:hAnsi="楷体_GB2312" w:eastAsia="楷体_GB2312" w:cs="楷体_GB2312"/>
          <w:sz w:val="32"/>
          <w:szCs w:val="32"/>
        </w:rPr>
        <w:t>规〔202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3</w:t>
      </w:r>
      <w:r>
        <w:rPr>
          <w:rFonts w:hint="eastAsia" w:ascii="楷体_GB2312" w:hAnsi="楷体_GB2312" w:eastAsia="楷体_GB2312" w:cs="楷体_GB2312"/>
          <w:sz w:val="32"/>
          <w:szCs w:val="32"/>
        </w:rPr>
        <w:t>〕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5</w:t>
      </w:r>
      <w:r>
        <w:rPr>
          <w:rFonts w:hint="eastAsia" w:ascii="楷体_GB2312" w:hAnsi="楷体_GB2312" w:eastAsia="楷体_GB2312" w:cs="楷体_GB2312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tabs>
          <w:tab w:val="left" w:pos="360"/>
          <w:tab w:val="left" w:pos="8213"/>
          <w:tab w:val="left" w:pos="8623"/>
        </w:tabs>
        <w:kinsoku/>
        <w:wordWrap/>
        <w:overflowPunct/>
        <w:topLinePunct w:val="0"/>
        <w:autoSpaceDE/>
        <w:autoSpaceDN/>
        <w:bidi w:val="0"/>
        <w:adjustRightInd/>
        <w:spacing w:line="240" w:lineRule="auto"/>
        <w:ind w:right="210" w:rightChars="100" w:firstLine="640" w:firstLineChars="200"/>
        <w:jc w:val="center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360"/>
          <w:tab w:val="left" w:pos="8213"/>
          <w:tab w:val="left" w:pos="8623"/>
        </w:tabs>
        <w:kinsoku/>
        <w:wordWrap/>
        <w:overflowPunct/>
        <w:topLinePunct w:val="0"/>
        <w:autoSpaceDE/>
        <w:autoSpaceDN/>
        <w:bidi w:val="0"/>
        <w:adjustRightInd/>
        <w:spacing w:line="240" w:lineRule="auto"/>
        <w:ind w:right="210" w:rightChars="1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云南省数字经济开发区管委会，各街道、各部门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为深入推进行政规范性文件法治化，根据《云南省行政规范性文件制定和备案办法》（省人民政府令第212号）第四十三条、第二十二条之规定，经区政府研究，决定对《关于印发呈贡县社区集体资金资产资源监督管理暂行规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定的通知》呈政发〔2011〕8号、昆府规登准〔2011〕2号）予以废止，本决定自公布之日起满30日实施。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240" w:lineRule="auto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240" w:lineRule="auto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240" w:lineRule="auto"/>
        <w:ind w:firstLine="640" w:firstLineChars="200"/>
        <w:jc w:val="righ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昆明市呈贡区人民政府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240" w:lineRule="auto"/>
        <w:ind w:firstLine="640" w:firstLineChars="200"/>
        <w:jc w:val="righ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2023年10月16日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（此件公开发布）</w:t>
      </w:r>
    </w:p>
    <w:sectPr>
      <w:headerReference r:id="rId3" w:type="default"/>
      <w:footerReference r:id="rId4" w:type="default"/>
      <w:pgSz w:w="11906" w:h="16838"/>
      <w:pgMar w:top="1962" w:right="1474" w:bottom="1848" w:left="1587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left="4788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>
    <w:pPr>
      <w:pStyle w:val="6"/>
      <w:wordWrap w:val="0"/>
      <w:ind w:left="4788" w:leftChars="2280" w:firstLine="6400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74295</wp:posOffset>
              </wp:positionV>
              <wp:extent cx="5616575" cy="1905"/>
              <wp:effectExtent l="0" t="10795" r="3175" b="158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.85pt;height:0.15pt;width:442.25pt;z-index:251660288;mso-width-relative:page;mso-height-relative:page;" filled="f" stroked="t" coordsize="21600,21600" o:gfxdata="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zp6XR1AAA&#10;AAYBAAAPAAAAAAAAAAEAIAAAACIAAABkcnMvZG93bnJldi54bWxQSwECFAAUAAAACACHTuJA8DYt&#10;KekBAAC1AwAADgAAAAAAAAABACAAAAAjAQAAZHJzL2Uyb0RvYy54bWxQSwUGAAAAAAYABgBZAQAA&#10;fg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eastAsia="仿宋"/>
        <w:color w:val="FAFAFA"/>
        <w:sz w:val="32"/>
        <w:szCs w:val="48"/>
        <w:lang w:val="en-US" w:eastAsia="zh-CN"/>
      </w:rPr>
      <w:t>X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>呈贡区人民政府发布</w:t>
    </w:r>
    <w:r>
      <w:rPr>
        <w:rFonts w:hint="eastAsia" w:asciiTheme="minorEastAsia" w:hAnsiTheme="minorEastAsia" w:eastAsiaTheme="minorEastAsia" w:cstheme="minorEastAsia"/>
        <w:b/>
        <w:bCs/>
        <w:color w:val="005192"/>
        <w:sz w:val="28"/>
        <w:szCs w:val="44"/>
        <w:lang w:val="en-US" w:eastAsia="zh-CN"/>
      </w:rPr>
      <w:t xml:space="preserve">    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 </w:t>
    </w:r>
  </w:p>
  <w:p>
    <w:pPr>
      <w:pStyle w:val="6"/>
      <w:wordWrap w:val="0"/>
      <w:ind w:left="4788" w:leftChars="2280" w:firstLine="5622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</w:rPr>
    </w:pPr>
    <w:r>
      <w:rPr>
        <w:rFonts w:hint="eastAsia" w:ascii="宋体" w:hAnsi="宋体" w:eastAsia="宋体" w:cs="宋体"/>
        <w:b/>
        <w:bCs/>
        <w:color w:val="005192"/>
        <w:sz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-3810</wp:posOffset>
              </wp:positionH>
              <wp:positionV relativeFrom="paragraph">
                <wp:posOffset>690245</wp:posOffset>
              </wp:positionV>
              <wp:extent cx="5620385" cy="0"/>
              <wp:effectExtent l="0" t="12700" r="18415" b="15875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3pt;margin-top:54.35pt;height:0pt;width:442.55pt;z-index:251659264;mso-width-relative:page;mso-height-relative:page;" filled="f" stroked="t" coordsize="21600,21600" o:gfxdata="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1EdA1tUAAAAJAQAADwAAAAAAAAABACAAAAAiAAAAZHJzL2Rvd25yZXYueG1sUEsBAhQAFAAA&#10;AAgAh07iQAXuux7yAQAAvQMAAA4AAAAAAAAAAQAgAAAAJAEAAGRycy9lMm9Eb2MueG1sUEsFBgAA&#10;AAAGAAYAWQEAAIgFAAAAAA=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default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1430" b="1143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  <w:t>呈贡区人民政府行政规范性文件</w:t>
    </w:r>
  </w:p>
  <w:p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5YzZjNTRhMzY4NGM3Nzk2ZmIwYTg2OGI3ZDJjZTQifQ=="/>
  </w:docVars>
  <w:rsids>
    <w:rsidRoot w:val="00172A27"/>
    <w:rsid w:val="019E71BD"/>
    <w:rsid w:val="049E7378"/>
    <w:rsid w:val="04B679C3"/>
    <w:rsid w:val="057523EE"/>
    <w:rsid w:val="080F63D8"/>
    <w:rsid w:val="09341458"/>
    <w:rsid w:val="0B0912D7"/>
    <w:rsid w:val="0BFE3C2F"/>
    <w:rsid w:val="0F8D4F02"/>
    <w:rsid w:val="152D2DCA"/>
    <w:rsid w:val="15EE180A"/>
    <w:rsid w:val="181C1E1D"/>
    <w:rsid w:val="18C377E6"/>
    <w:rsid w:val="1AE707BC"/>
    <w:rsid w:val="1DEC284C"/>
    <w:rsid w:val="1E6523AC"/>
    <w:rsid w:val="22440422"/>
    <w:rsid w:val="23ED3D6C"/>
    <w:rsid w:val="275C64E1"/>
    <w:rsid w:val="278E6141"/>
    <w:rsid w:val="2C64448B"/>
    <w:rsid w:val="2C811E88"/>
    <w:rsid w:val="2E8B7402"/>
    <w:rsid w:val="31A15F24"/>
    <w:rsid w:val="38CE5C67"/>
    <w:rsid w:val="395347B5"/>
    <w:rsid w:val="39551B1A"/>
    <w:rsid w:val="3971419D"/>
    <w:rsid w:val="39A232A0"/>
    <w:rsid w:val="39E745AA"/>
    <w:rsid w:val="3B5A6BBB"/>
    <w:rsid w:val="3EDA13A6"/>
    <w:rsid w:val="42B9333F"/>
    <w:rsid w:val="42F058B7"/>
    <w:rsid w:val="436109F6"/>
    <w:rsid w:val="441A38D4"/>
    <w:rsid w:val="467262AF"/>
    <w:rsid w:val="487163AF"/>
    <w:rsid w:val="4BC77339"/>
    <w:rsid w:val="4C4B7C48"/>
    <w:rsid w:val="4C9236C5"/>
    <w:rsid w:val="505C172E"/>
    <w:rsid w:val="50C27187"/>
    <w:rsid w:val="52EE531E"/>
    <w:rsid w:val="52F46F0B"/>
    <w:rsid w:val="53D8014D"/>
    <w:rsid w:val="544C37DA"/>
    <w:rsid w:val="55E064E0"/>
    <w:rsid w:val="56F547FD"/>
    <w:rsid w:val="572C6D10"/>
    <w:rsid w:val="58FF0CE7"/>
    <w:rsid w:val="591952B4"/>
    <w:rsid w:val="5B6D1183"/>
    <w:rsid w:val="5DC34279"/>
    <w:rsid w:val="5EF552B0"/>
    <w:rsid w:val="608816D1"/>
    <w:rsid w:val="609D3969"/>
    <w:rsid w:val="60EF4E7F"/>
    <w:rsid w:val="61116997"/>
    <w:rsid w:val="645F66F5"/>
    <w:rsid w:val="64E401C2"/>
    <w:rsid w:val="665233C1"/>
    <w:rsid w:val="6AD9688B"/>
    <w:rsid w:val="6C9D0FF8"/>
    <w:rsid w:val="6D0E3F22"/>
    <w:rsid w:val="6FD137CF"/>
    <w:rsid w:val="6FE853E9"/>
    <w:rsid w:val="7C9011D9"/>
    <w:rsid w:val="7DA61E15"/>
    <w:rsid w:val="7DC651C5"/>
    <w:rsid w:val="7FCC283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Body Text"/>
    <w:basedOn w:val="1"/>
    <w:next w:val="4"/>
    <w:autoRedefine/>
    <w:qFormat/>
    <w:uiPriority w:val="0"/>
    <w:pPr>
      <w:spacing w:before="0" w:after="140" w:line="276" w:lineRule="auto"/>
    </w:pPr>
  </w:style>
  <w:style w:type="paragraph" w:styleId="4">
    <w:name w:val="toc 5"/>
    <w:basedOn w:val="1"/>
    <w:next w:val="1"/>
    <w:autoRedefine/>
    <w:qFormat/>
    <w:uiPriority w:val="39"/>
    <w:pPr>
      <w:ind w:left="840"/>
      <w:jc w:val="left"/>
    </w:pPr>
    <w:rPr>
      <w:rFonts w:cs="Calibri"/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9">
    <w:name w:val="page number"/>
    <w:basedOn w:val="8"/>
    <w:qFormat/>
    <w:uiPriority w:val="0"/>
    <w:rPr>
      <w:rFonts w:cs="Times New Roman"/>
    </w:rPr>
  </w:style>
  <w:style w:type="paragraph" w:customStyle="1" w:styleId="10">
    <w:name w:val="5 Char"/>
    <w:basedOn w:val="1"/>
    <w:qFormat/>
    <w:uiPriority w:val="0"/>
    <w:rPr>
      <w:rFonts w:ascii="Calibri" w:hAnsi="Calibri"/>
      <w:sz w:val="24"/>
      <w:szCs w:val="24"/>
    </w:rPr>
  </w:style>
  <w:style w:type="character" w:customStyle="1" w:styleId="11">
    <w:name w:val="sect2title1"/>
    <w:autoRedefine/>
    <w:qFormat/>
    <w:uiPriority w:val="0"/>
    <w:rPr>
      <w:rFonts w:hint="eastAsia" w:ascii="微软雅黑" w:hAnsi="微软雅黑" w:eastAsia="微软雅黑"/>
      <w:b/>
      <w:bCs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264</Words>
  <Characters>287</Characters>
  <Lines>1</Lines>
  <Paragraphs>1</Paragraphs>
  <TotalTime>144</TotalTime>
  <ScaleCrop>false</ScaleCrop>
  <LinksUpToDate>false</LinksUpToDate>
  <CharactersWithSpaces>287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2021-09-09T02:41:00Z</dcterms:created>
  <dc:creator>t</dc:creator>
  <cp:lastModifiedBy>遇见，普罗旺斯</cp:lastModifiedBy>
  <cp:lastPrinted>2021-10-26T03:30:00Z</cp:lastPrinted>
  <dcterms:modified xsi:type="dcterms:W3CDTF">2024-03-26T02:38:46Z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A196129EB4904F94B6823181D9B4358B_13</vt:lpwstr>
  </property>
</Properties>
</file>