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spacing w:before="1"/>
        <w:rPr>
          <w:rFonts w:ascii="Times New Roman"/>
          <w:sz w:val="25"/>
        </w:rPr>
      </w:pPr>
    </w:p>
    <w:p>
      <w:pPr>
        <w:pStyle w:val="3"/>
        <w:spacing w:before="61"/>
      </w:pPr>
      <w:r>
        <w:rPr>
          <w:rFonts w:hint="eastAsia" w:ascii="宋体" w:eastAsia="宋体"/>
        </w:rPr>
        <w:t xml:space="preserve">监督索引号 </w:t>
      </w:r>
      <w:r>
        <w:t>53011400171500000</w:t>
      </w:r>
    </w:p>
    <w:p>
      <w:pPr>
        <w:pStyle w:val="4"/>
        <w:spacing w:before="5"/>
        <w:rPr>
          <w:rFonts w:ascii="Times New Roman"/>
          <w:b/>
          <w:sz w:val="36"/>
        </w:rPr>
      </w:pPr>
    </w:p>
    <w:p>
      <w:pPr>
        <w:pStyle w:val="4"/>
        <w:ind w:left="106"/>
        <w:rPr>
          <w:rFonts w:ascii="Times New Roman" w:eastAsia="Times New Roman"/>
        </w:rPr>
      </w:pPr>
      <w:r>
        <w:rPr>
          <w:rFonts w:hint="eastAsia" w:ascii="黑体" w:eastAsia="黑体"/>
        </w:rPr>
        <w:t xml:space="preserve">附件 </w:t>
      </w:r>
      <w:r>
        <w:rPr>
          <w:rFonts w:ascii="Times New Roman" w:eastAsia="Times New Roman"/>
        </w:rPr>
        <w:t>1</w:t>
      </w: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2"/>
        <w:rPr>
          <w:rFonts w:ascii="Times New Roman"/>
          <w:sz w:val="10"/>
        </w:rPr>
      </w:pPr>
      <w:r>
        <w:drawing>
          <wp:anchor distT="0" distB="0" distL="0" distR="0" simplePos="0" relativeHeight="0" behindDoc="0" locked="0" layoutInCell="1" allowOverlap="1">
            <wp:simplePos x="0" y="0"/>
            <wp:positionH relativeFrom="page">
              <wp:posOffset>2018665</wp:posOffset>
            </wp:positionH>
            <wp:positionV relativeFrom="paragraph">
              <wp:posOffset>99060</wp:posOffset>
            </wp:positionV>
            <wp:extent cx="3783965" cy="28638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6" cstate="print"/>
                    <a:stretch>
                      <a:fillRect/>
                    </a:stretch>
                  </pic:blipFill>
                  <pic:spPr>
                    <a:xfrm>
                      <a:off x="0" y="0"/>
                      <a:ext cx="3783845" cy="286702"/>
                    </a:xfrm>
                    <a:prstGeom prst="rect">
                      <a:avLst/>
                    </a:prstGeom>
                  </pic:spPr>
                </pic:pic>
              </a:graphicData>
            </a:graphic>
          </wp:anchor>
        </w:drawing>
      </w:r>
    </w:p>
    <w:p>
      <w:pPr>
        <w:pStyle w:val="4"/>
        <w:rPr>
          <w:rFonts w:ascii="Times New Roman"/>
          <w:sz w:val="15"/>
        </w:rPr>
      </w:pPr>
    </w:p>
    <w:p>
      <w:pPr>
        <w:pStyle w:val="2"/>
        <w:ind w:left="2494"/>
      </w:pPr>
      <w:r>
        <w:drawing>
          <wp:anchor distT="0" distB="0" distL="0" distR="0" simplePos="0" relativeHeight="251659264" behindDoc="0" locked="0" layoutInCell="1" allowOverlap="1">
            <wp:simplePos x="0" y="0"/>
            <wp:positionH relativeFrom="page">
              <wp:posOffset>3151505</wp:posOffset>
            </wp:positionH>
            <wp:positionV relativeFrom="paragraph">
              <wp:posOffset>58420</wp:posOffset>
            </wp:positionV>
            <wp:extent cx="1957070" cy="33210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7" cstate="print"/>
                    <a:stretch>
                      <a:fillRect/>
                    </a:stretch>
                  </pic:blipFill>
                  <pic:spPr>
                    <a:xfrm>
                      <a:off x="0" y="0"/>
                      <a:ext cx="1956803" cy="332104"/>
                    </a:xfrm>
                    <a:prstGeom prst="rect">
                      <a:avLst/>
                    </a:prstGeom>
                  </pic:spPr>
                </pic:pic>
              </a:graphicData>
            </a:graphic>
          </wp:anchor>
        </w:drawing>
      </w:r>
      <w:r>
        <w:t>2023</w:t>
      </w: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205" w:line="333" w:lineRule="auto"/>
        <w:ind w:left="106" w:right="400"/>
        <w:rPr>
          <w:rFonts w:hint="eastAsia" w:ascii="黑体" w:eastAsia="黑体"/>
        </w:rPr>
      </w:pPr>
      <w:r>
        <w:rPr>
          <w:rFonts w:hint="eastAsia" w:ascii="黑体" w:eastAsia="黑体"/>
        </w:rPr>
        <w:t xml:space="preserve">第一部分 昆明市呈贡区人民政府办公室 </w:t>
      </w:r>
      <w:r>
        <w:rPr>
          <w:rFonts w:ascii="Times New Roman" w:eastAsia="Times New Roman"/>
        </w:rPr>
        <w:t xml:space="preserve">2023 </w:t>
      </w:r>
      <w:r>
        <w:rPr>
          <w:rFonts w:hint="eastAsia" w:ascii="黑体" w:eastAsia="黑体"/>
        </w:rPr>
        <w:t>年部门预算编制说明</w:t>
      </w:r>
    </w:p>
    <w:p>
      <w:pPr>
        <w:spacing w:before="184" w:line="513" w:lineRule="auto"/>
        <w:ind w:left="106" w:right="5817" w:firstLine="0"/>
        <w:jc w:val="left"/>
        <w:rPr>
          <w:sz w:val="30"/>
        </w:rPr>
      </w:pPr>
      <w:r>
        <w:rPr>
          <w:spacing w:val="-2"/>
          <w:sz w:val="30"/>
        </w:rPr>
        <w:t>一、基本职能及主要工作</w:t>
      </w:r>
      <w:r>
        <w:rPr>
          <w:sz w:val="30"/>
        </w:rPr>
        <w:t>二、预算单位基本情况 三、预算单位收入情况 四、预算单位支出情况</w:t>
      </w:r>
    </w:p>
    <w:p>
      <w:pPr>
        <w:spacing w:before="5" w:line="513" w:lineRule="auto"/>
        <w:ind w:left="106" w:right="5517" w:firstLine="0"/>
        <w:jc w:val="left"/>
        <w:rPr>
          <w:sz w:val="30"/>
        </w:rPr>
      </w:pPr>
      <w:r>
        <w:rPr>
          <w:spacing w:val="-2"/>
          <w:sz w:val="30"/>
        </w:rPr>
        <w:t>五、对下专项转移支付情况</w:t>
      </w:r>
      <w:r>
        <w:rPr>
          <w:sz w:val="30"/>
        </w:rPr>
        <w:t>六、政府采购预算情况</w:t>
      </w:r>
    </w:p>
    <w:p>
      <w:pPr>
        <w:spacing w:before="3" w:line="513" w:lineRule="auto"/>
        <w:ind w:left="106" w:right="3151" w:firstLine="0"/>
        <w:jc w:val="left"/>
        <w:rPr>
          <w:sz w:val="30"/>
        </w:rPr>
      </w:pPr>
      <w:r>
        <w:rPr>
          <w:sz w:val="30"/>
        </w:rPr>
        <w:t>七、部门</w:t>
      </w:r>
      <w:r>
        <w:rPr>
          <w:rFonts w:ascii="Times New Roman" w:hAnsi="Times New Roman" w:eastAsia="Times New Roman"/>
          <w:sz w:val="30"/>
        </w:rPr>
        <w:t>“</w:t>
      </w:r>
      <w:r>
        <w:rPr>
          <w:sz w:val="30"/>
        </w:rPr>
        <w:t>三公</w:t>
      </w:r>
      <w:r>
        <w:rPr>
          <w:rFonts w:ascii="Times New Roman" w:hAnsi="Times New Roman" w:eastAsia="Times New Roman"/>
          <w:sz w:val="30"/>
        </w:rPr>
        <w:t>”</w:t>
      </w:r>
      <w:r>
        <w:rPr>
          <w:sz w:val="30"/>
        </w:rPr>
        <w:t>经费增减变化情况及原因说明八、重点项目预算绩效目标情况</w:t>
      </w:r>
    </w:p>
    <w:p>
      <w:pPr>
        <w:spacing w:after="0" w:line="513" w:lineRule="auto"/>
        <w:jc w:val="left"/>
        <w:rPr>
          <w:sz w:val="30"/>
        </w:rPr>
        <w:sectPr>
          <w:footerReference r:id="rId3" w:type="default"/>
          <w:type w:val="continuous"/>
          <w:pgSz w:w="11910" w:h="16840"/>
          <w:pgMar w:top="1580" w:right="1200" w:bottom="1400" w:left="1480" w:header="720" w:footer="1204" w:gutter="0"/>
          <w:pgNumType w:start="1"/>
        </w:sectPr>
      </w:pPr>
    </w:p>
    <w:p>
      <w:pPr>
        <w:pStyle w:val="4"/>
        <w:rPr>
          <w:sz w:val="20"/>
        </w:rPr>
      </w:pPr>
    </w:p>
    <w:p>
      <w:pPr>
        <w:pStyle w:val="4"/>
        <w:spacing w:before="11"/>
        <w:rPr>
          <w:sz w:val="23"/>
        </w:rPr>
      </w:pPr>
    </w:p>
    <w:p>
      <w:pPr>
        <w:spacing w:before="58"/>
        <w:ind w:left="106" w:right="0" w:firstLine="0"/>
        <w:jc w:val="left"/>
        <w:rPr>
          <w:sz w:val="30"/>
        </w:rPr>
      </w:pPr>
      <w:r>
        <w:rPr>
          <w:sz w:val="30"/>
        </w:rPr>
        <w:t>九、其他公开信息</w:t>
      </w:r>
    </w:p>
    <w:p>
      <w:pPr>
        <w:pStyle w:val="4"/>
        <w:spacing w:before="7"/>
        <w:rPr>
          <w:sz w:val="35"/>
        </w:rPr>
      </w:pPr>
    </w:p>
    <w:p>
      <w:pPr>
        <w:pStyle w:val="4"/>
        <w:ind w:left="106"/>
        <w:rPr>
          <w:rFonts w:hint="eastAsia" w:ascii="黑体" w:eastAsia="黑体"/>
        </w:rPr>
      </w:pPr>
      <w:r>
        <w:rPr>
          <w:rFonts w:hint="eastAsia" w:ascii="黑体" w:eastAsia="黑体"/>
        </w:rPr>
        <w:t xml:space="preserve">第二部分 昆明市呈贡区人民政府办公室 </w:t>
      </w:r>
      <w:r>
        <w:rPr>
          <w:rFonts w:ascii="Times New Roman" w:eastAsia="Times New Roman"/>
        </w:rPr>
        <w:t xml:space="preserve">2023 </w:t>
      </w:r>
      <w:r>
        <w:rPr>
          <w:rFonts w:hint="eastAsia" w:ascii="黑体" w:eastAsia="黑体"/>
        </w:rPr>
        <w:t>年部门预算表</w:t>
      </w:r>
    </w:p>
    <w:p>
      <w:pPr>
        <w:pStyle w:val="4"/>
        <w:spacing w:before="11"/>
        <w:rPr>
          <w:rFonts w:ascii="黑体"/>
          <w:sz w:val="26"/>
        </w:rPr>
      </w:pPr>
    </w:p>
    <w:p>
      <w:pPr>
        <w:spacing w:before="0" w:line="513" w:lineRule="auto"/>
        <w:ind w:left="106" w:right="5517" w:firstLine="0"/>
        <w:jc w:val="left"/>
        <w:rPr>
          <w:sz w:val="30"/>
        </w:rPr>
      </w:pPr>
      <w:r>
        <w:rPr>
          <w:spacing w:val="-2"/>
          <w:sz w:val="30"/>
        </w:rPr>
        <w:t>一、部门财务收支预算总表</w:t>
      </w:r>
      <w:r>
        <w:rPr>
          <w:sz w:val="30"/>
        </w:rPr>
        <w:t>二、部门收入预算表</w:t>
      </w:r>
    </w:p>
    <w:p>
      <w:pPr>
        <w:spacing w:before="4"/>
        <w:ind w:left="106" w:right="0" w:firstLine="0"/>
        <w:jc w:val="left"/>
        <w:rPr>
          <w:sz w:val="30"/>
        </w:rPr>
      </w:pPr>
      <w:r>
        <w:rPr>
          <w:sz w:val="30"/>
        </w:rPr>
        <w:t>三、部门支出预算表</w:t>
      </w:r>
    </w:p>
    <w:p>
      <w:pPr>
        <w:pStyle w:val="4"/>
        <w:spacing w:before="3"/>
        <w:rPr>
          <w:sz w:val="34"/>
        </w:rPr>
      </w:pPr>
    </w:p>
    <w:p>
      <w:pPr>
        <w:spacing w:before="0"/>
        <w:ind w:left="106" w:right="0" w:firstLine="0"/>
        <w:jc w:val="left"/>
        <w:rPr>
          <w:sz w:val="30"/>
        </w:rPr>
      </w:pPr>
      <w:r>
        <w:rPr>
          <w:sz w:val="30"/>
        </w:rPr>
        <w:t>四、财政拨款收支预算总表</w:t>
      </w:r>
    </w:p>
    <w:p>
      <w:pPr>
        <w:pStyle w:val="4"/>
        <w:spacing w:before="3"/>
        <w:rPr>
          <w:sz w:val="34"/>
        </w:rPr>
      </w:pPr>
    </w:p>
    <w:p>
      <w:pPr>
        <w:spacing w:before="0" w:line="516" w:lineRule="auto"/>
        <w:ind w:left="106" w:right="2517" w:firstLine="0"/>
        <w:jc w:val="left"/>
        <w:rPr>
          <w:sz w:val="30"/>
        </w:rPr>
      </w:pPr>
      <w:r>
        <w:rPr>
          <w:sz w:val="30"/>
        </w:rPr>
        <w:t>五、一般公共预算支出预算表（按功能科目分类） 六、一般公共预算</w:t>
      </w:r>
      <w:r>
        <w:rPr>
          <w:rFonts w:ascii="Times New Roman" w:hAnsi="Times New Roman" w:eastAsia="Times New Roman"/>
          <w:sz w:val="30"/>
        </w:rPr>
        <w:t>“</w:t>
      </w:r>
      <w:r>
        <w:rPr>
          <w:sz w:val="30"/>
        </w:rPr>
        <w:t>三公</w:t>
      </w:r>
      <w:r>
        <w:rPr>
          <w:rFonts w:ascii="Times New Roman" w:hAnsi="Times New Roman" w:eastAsia="Times New Roman"/>
          <w:sz w:val="30"/>
        </w:rPr>
        <w:t>”</w:t>
      </w:r>
      <w:r>
        <w:rPr>
          <w:sz w:val="30"/>
        </w:rPr>
        <w:t>经费支出预算表</w:t>
      </w:r>
    </w:p>
    <w:p>
      <w:pPr>
        <w:spacing w:before="0" w:line="513" w:lineRule="auto"/>
        <w:ind w:left="106" w:right="1917" w:firstLine="0"/>
        <w:jc w:val="both"/>
        <w:rPr>
          <w:sz w:val="30"/>
        </w:rPr>
      </w:pPr>
      <w:r>
        <w:rPr>
          <w:sz w:val="30"/>
        </w:rPr>
        <w:t>七、基本支出预算表（人员类、运转类公用经费项目） 八、项目支出预算表（其他运转类、特定目标类项目） 九、项目支出绩效目标表</w:t>
      </w:r>
    </w:p>
    <w:p>
      <w:pPr>
        <w:spacing w:before="0" w:line="513" w:lineRule="auto"/>
        <w:ind w:left="106" w:right="4917" w:firstLine="0"/>
        <w:jc w:val="left"/>
        <w:rPr>
          <w:sz w:val="30"/>
        </w:rPr>
      </w:pPr>
      <w:r>
        <w:rPr>
          <w:spacing w:val="-2"/>
          <w:sz w:val="30"/>
        </w:rPr>
        <w:t>十、政府性基金预算支出预算表</w:t>
      </w:r>
      <w:r>
        <w:rPr>
          <w:sz w:val="30"/>
        </w:rPr>
        <w:t>十一、部门政府采购预算表</w:t>
      </w:r>
    </w:p>
    <w:p>
      <w:pPr>
        <w:spacing w:before="4" w:line="513" w:lineRule="auto"/>
        <w:ind w:left="106" w:right="5517" w:firstLine="0"/>
        <w:jc w:val="left"/>
        <w:rPr>
          <w:sz w:val="30"/>
        </w:rPr>
      </w:pPr>
      <w:r>
        <w:rPr>
          <w:spacing w:val="-2"/>
          <w:sz w:val="30"/>
        </w:rPr>
        <w:t>十二、政府购买服务预算表十三、对下转移支付预算表</w:t>
      </w:r>
    </w:p>
    <w:p>
      <w:pPr>
        <w:spacing w:after="0" w:line="513" w:lineRule="auto"/>
        <w:jc w:val="left"/>
        <w:rPr>
          <w:sz w:val="30"/>
        </w:rPr>
        <w:sectPr>
          <w:pgSz w:w="11910" w:h="16840"/>
          <w:pgMar w:top="1580" w:right="1200" w:bottom="1400" w:left="1480" w:header="0" w:footer="1204" w:gutter="0"/>
        </w:sectPr>
      </w:pPr>
    </w:p>
    <w:p>
      <w:pPr>
        <w:pStyle w:val="4"/>
        <w:rPr>
          <w:sz w:val="20"/>
        </w:rPr>
      </w:pPr>
    </w:p>
    <w:p>
      <w:pPr>
        <w:pStyle w:val="4"/>
        <w:spacing w:before="11"/>
        <w:rPr>
          <w:sz w:val="23"/>
        </w:rPr>
      </w:pPr>
    </w:p>
    <w:p>
      <w:pPr>
        <w:spacing w:before="58" w:line="513" w:lineRule="auto"/>
        <w:ind w:left="106" w:right="4917" w:firstLine="0"/>
        <w:jc w:val="left"/>
        <w:rPr>
          <w:sz w:val="30"/>
        </w:rPr>
      </w:pPr>
      <w:r>
        <w:rPr>
          <w:sz w:val="30"/>
        </w:rPr>
        <w:t>十四、对下转移支付绩效目标表十五、新增资产配置表</w:t>
      </w:r>
    </w:p>
    <w:p>
      <w:pPr>
        <w:spacing w:before="2" w:line="516" w:lineRule="auto"/>
        <w:ind w:left="106" w:right="4917" w:firstLine="0"/>
        <w:jc w:val="left"/>
        <w:rPr>
          <w:sz w:val="30"/>
        </w:rPr>
      </w:pPr>
      <w:r>
        <w:rPr>
          <w:sz w:val="30"/>
        </w:rPr>
        <w:t>十六、上级补助项目支出预算表十七、部门项目中期规划预算表</w:t>
      </w:r>
    </w:p>
    <w:p>
      <w:pPr>
        <w:pStyle w:val="4"/>
        <w:rPr>
          <w:sz w:val="20"/>
        </w:rPr>
      </w:pPr>
    </w:p>
    <w:p>
      <w:pPr>
        <w:pStyle w:val="4"/>
        <w:rPr>
          <w:sz w:val="20"/>
        </w:rPr>
      </w:pPr>
    </w:p>
    <w:p>
      <w:pPr>
        <w:pStyle w:val="4"/>
        <w:rPr>
          <w:sz w:val="20"/>
        </w:rPr>
      </w:pPr>
    </w:p>
    <w:p>
      <w:pPr>
        <w:pStyle w:val="4"/>
        <w:rPr>
          <w:sz w:val="20"/>
        </w:rPr>
      </w:pPr>
    </w:p>
    <w:p>
      <w:pPr>
        <w:pStyle w:val="4"/>
        <w:spacing w:before="5"/>
        <w:rPr>
          <w:sz w:val="20"/>
        </w:rPr>
      </w:pPr>
      <w:r>
        <w:drawing>
          <wp:anchor distT="0" distB="0" distL="0" distR="0" simplePos="0" relativeHeight="1024" behindDoc="0" locked="0" layoutInCell="1" allowOverlap="1">
            <wp:simplePos x="0" y="0"/>
            <wp:positionH relativeFrom="page">
              <wp:posOffset>2298065</wp:posOffset>
            </wp:positionH>
            <wp:positionV relativeFrom="paragraph">
              <wp:posOffset>190500</wp:posOffset>
            </wp:positionV>
            <wp:extent cx="3783965" cy="286385"/>
            <wp:effectExtent l="0" t="0" r="0" b="0"/>
            <wp:wrapTopAndBottom/>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6" cstate="print"/>
                    <a:stretch>
                      <a:fillRect/>
                    </a:stretch>
                  </pic:blipFill>
                  <pic:spPr>
                    <a:xfrm>
                      <a:off x="0" y="0"/>
                      <a:ext cx="3783845" cy="286702"/>
                    </a:xfrm>
                    <a:prstGeom prst="rect">
                      <a:avLst/>
                    </a:prstGeom>
                  </pic:spPr>
                </pic:pic>
              </a:graphicData>
            </a:graphic>
          </wp:anchor>
        </w:drawing>
      </w:r>
    </w:p>
    <w:p>
      <w:pPr>
        <w:pStyle w:val="4"/>
        <w:rPr>
          <w:sz w:val="20"/>
        </w:rPr>
      </w:pPr>
    </w:p>
    <w:p>
      <w:pPr>
        <w:pStyle w:val="4"/>
        <w:spacing w:before="12"/>
        <w:rPr>
          <w:sz w:val="21"/>
        </w:rPr>
      </w:pPr>
    </w:p>
    <w:p>
      <w:pPr>
        <w:pStyle w:val="2"/>
        <w:ind w:right="1773"/>
        <w:jc w:val="center"/>
      </w:pPr>
      <w:r>
        <w:rPr>
          <w:w w:val="95"/>
        </w:rPr>
        <w:t xml:space="preserve">2023  </w:t>
      </w:r>
      <w:r>
        <w:rPr>
          <w:spacing w:val="9"/>
          <w:position w:val="-4"/>
        </w:rPr>
        <w:drawing>
          <wp:inline distT="0" distB="0" distL="0" distR="0">
            <wp:extent cx="2487930" cy="268605"/>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png"/>
                    <pic:cNvPicPr>
                      <a:picLocks noChangeAspect="1"/>
                    </pic:cNvPicPr>
                  </pic:nvPicPr>
                  <pic:blipFill>
                    <a:blip r:embed="rId8" cstate="print"/>
                    <a:stretch>
                      <a:fillRect/>
                    </a:stretch>
                  </pic:blipFill>
                  <pic:spPr>
                    <a:xfrm>
                      <a:off x="0" y="0"/>
                      <a:ext cx="2488495" cy="269239"/>
                    </a:xfrm>
                    <a:prstGeom prst="rect">
                      <a:avLst/>
                    </a:prstGeom>
                  </pic:spPr>
                </pic:pic>
              </a:graphicData>
            </a:graphic>
          </wp:inline>
        </w:drawing>
      </w: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178"/>
        <w:ind w:left="747"/>
        <w:rPr>
          <w:rFonts w:hint="eastAsia" w:ascii="黑体" w:eastAsia="黑体"/>
        </w:rPr>
      </w:pPr>
      <w:r>
        <w:rPr>
          <w:rFonts w:hint="eastAsia" w:ascii="黑体" w:eastAsia="黑体"/>
        </w:rPr>
        <w:t>一、基本职能及主要工作</w:t>
      </w:r>
    </w:p>
    <w:p>
      <w:pPr>
        <w:pStyle w:val="4"/>
        <w:spacing w:before="5"/>
        <w:rPr>
          <w:rFonts w:ascii="黑体"/>
          <w:sz w:val="27"/>
        </w:rPr>
      </w:pPr>
    </w:p>
    <w:p>
      <w:pPr>
        <w:pStyle w:val="4"/>
        <w:ind w:left="747"/>
      </w:pPr>
      <w:r>
        <w:t>（一）部门主要职责</w:t>
      </w:r>
    </w:p>
    <w:p>
      <w:pPr>
        <w:pStyle w:val="4"/>
        <w:spacing w:before="4"/>
        <w:rPr>
          <w:sz w:val="27"/>
        </w:rPr>
      </w:pPr>
    </w:p>
    <w:p>
      <w:pPr>
        <w:pStyle w:val="8"/>
        <w:numPr>
          <w:ilvl w:val="0"/>
          <w:numId w:val="1"/>
        </w:numPr>
        <w:tabs>
          <w:tab w:val="left" w:pos="989"/>
        </w:tabs>
        <w:spacing w:before="1" w:after="0" w:line="328" w:lineRule="auto"/>
        <w:ind w:left="106" w:right="271" w:firstLine="640"/>
        <w:jc w:val="both"/>
        <w:rPr>
          <w:sz w:val="32"/>
        </w:rPr>
      </w:pPr>
      <w:r>
        <w:rPr>
          <w:spacing w:val="-4"/>
          <w:w w:val="95"/>
          <w:sz w:val="32"/>
        </w:rPr>
        <w:t xml:space="preserve">贯彻落实党和国家的路线、方针、政策以及省、市、区的 </w:t>
      </w:r>
      <w:r>
        <w:rPr>
          <w:spacing w:val="-12"/>
          <w:w w:val="95"/>
          <w:sz w:val="32"/>
        </w:rPr>
        <w:t xml:space="preserve">各项法规、规章、决议、决定；承办上级人民政府文件、指示在 </w:t>
      </w:r>
      <w:r>
        <w:rPr>
          <w:spacing w:val="-16"/>
          <w:sz w:val="32"/>
        </w:rPr>
        <w:t>呈贡区贯彻落实的行文工作；承办呈贡区人民政府向上级人民政</w:t>
      </w:r>
      <w:r>
        <w:rPr>
          <w:spacing w:val="-14"/>
          <w:sz w:val="32"/>
        </w:rPr>
        <w:t>府报告、请示的拟稿和审核工作，以及上级党委、政府及其他部</w:t>
      </w:r>
    </w:p>
    <w:p>
      <w:pPr>
        <w:spacing w:after="0" w:line="328" w:lineRule="auto"/>
        <w:jc w:val="both"/>
        <w:rPr>
          <w:sz w:val="32"/>
        </w:rPr>
        <w:sectPr>
          <w:pgSz w:w="11910" w:h="16840"/>
          <w:pgMar w:top="1580" w:right="1200" w:bottom="1400" w:left="1480" w:header="0" w:footer="1204" w:gutter="0"/>
        </w:sectPr>
      </w:pPr>
    </w:p>
    <w:p>
      <w:pPr>
        <w:pStyle w:val="4"/>
        <w:rPr>
          <w:sz w:val="20"/>
        </w:rPr>
      </w:pPr>
    </w:p>
    <w:p>
      <w:pPr>
        <w:pStyle w:val="4"/>
        <w:spacing w:before="11"/>
        <w:rPr>
          <w:sz w:val="24"/>
        </w:rPr>
      </w:pPr>
    </w:p>
    <w:p>
      <w:pPr>
        <w:pStyle w:val="4"/>
        <w:spacing w:before="54" w:line="326" w:lineRule="auto"/>
        <w:ind w:left="106" w:right="273"/>
      </w:pPr>
      <w:r>
        <w:rPr>
          <w:spacing w:val="-11"/>
        </w:rPr>
        <w:t>门和中共呈贡区委、呈贡区人大、呈贡区政协转由区政府办理的事项。</w:t>
      </w:r>
    </w:p>
    <w:p>
      <w:pPr>
        <w:pStyle w:val="8"/>
        <w:numPr>
          <w:ilvl w:val="0"/>
          <w:numId w:val="1"/>
        </w:numPr>
        <w:tabs>
          <w:tab w:val="left" w:pos="989"/>
        </w:tabs>
        <w:spacing w:before="205" w:after="0" w:line="328" w:lineRule="auto"/>
        <w:ind w:left="106" w:right="271" w:firstLine="640"/>
        <w:jc w:val="both"/>
        <w:rPr>
          <w:sz w:val="32"/>
        </w:rPr>
      </w:pPr>
      <w:r>
        <w:rPr>
          <w:spacing w:val="-3"/>
          <w:w w:val="95"/>
          <w:sz w:val="32"/>
        </w:rPr>
        <w:t xml:space="preserve">按照区政府领导要求，协调区政府各部门、各街道办事处 </w:t>
      </w:r>
      <w:r>
        <w:rPr>
          <w:spacing w:val="-11"/>
          <w:sz w:val="32"/>
        </w:rPr>
        <w:t>之间的工作关系，对有关事项提出处理意见和建议；研究区政府</w:t>
      </w:r>
      <w:r>
        <w:rPr>
          <w:spacing w:val="-12"/>
          <w:sz w:val="32"/>
        </w:rPr>
        <w:t>各部门、各街道办事处请示区政府的事项，提出办理意见，报区政府领导审批。</w:t>
      </w:r>
    </w:p>
    <w:p>
      <w:pPr>
        <w:pStyle w:val="8"/>
        <w:numPr>
          <w:ilvl w:val="0"/>
          <w:numId w:val="1"/>
        </w:numPr>
        <w:tabs>
          <w:tab w:val="left" w:pos="989"/>
        </w:tabs>
        <w:spacing w:before="192" w:after="0" w:line="328" w:lineRule="auto"/>
        <w:ind w:left="106" w:right="158" w:firstLine="640"/>
        <w:jc w:val="both"/>
        <w:rPr>
          <w:sz w:val="32"/>
        </w:rPr>
      </w:pPr>
      <w:r>
        <w:rPr>
          <w:sz w:val="32"/>
        </w:rPr>
        <w:t xml:space="preserve">围绕区政府各阶段的中心工作，组织开展专题调查研究， </w:t>
      </w:r>
      <w:r>
        <w:rPr>
          <w:spacing w:val="-11"/>
          <w:sz w:val="32"/>
        </w:rPr>
        <w:t>收集反馈信息，了解、掌握、综合和报送重要情况，提出改进工作和解决问题的建议，为区政府领导决策与部署工作提供参考。</w:t>
      </w:r>
    </w:p>
    <w:p>
      <w:pPr>
        <w:pStyle w:val="8"/>
        <w:numPr>
          <w:ilvl w:val="0"/>
          <w:numId w:val="1"/>
        </w:numPr>
        <w:tabs>
          <w:tab w:val="left" w:pos="989"/>
        </w:tabs>
        <w:spacing w:before="196" w:after="0" w:line="328" w:lineRule="auto"/>
        <w:ind w:left="106" w:right="273" w:firstLine="640"/>
        <w:jc w:val="both"/>
        <w:rPr>
          <w:sz w:val="32"/>
        </w:rPr>
      </w:pPr>
      <w:r>
        <w:rPr>
          <w:spacing w:val="-3"/>
          <w:sz w:val="32"/>
        </w:rPr>
        <w:t>负责做好区政府会议的会务工作，认真做好会议记录，起</w:t>
      </w:r>
      <w:r>
        <w:rPr>
          <w:spacing w:val="-10"/>
          <w:w w:val="95"/>
          <w:sz w:val="32"/>
        </w:rPr>
        <w:t xml:space="preserve">草会议纪要和会议决定事项的各类文稿；协助区长、副区长及参 </w:t>
      </w:r>
      <w:r>
        <w:rPr>
          <w:spacing w:val="-15"/>
          <w:w w:val="95"/>
          <w:sz w:val="32"/>
        </w:rPr>
        <w:t xml:space="preserve">与政府分工的领导组织实施会议决议、决定的事项；配合有关部 </w:t>
      </w:r>
      <w:r>
        <w:rPr>
          <w:spacing w:val="-15"/>
          <w:sz w:val="32"/>
        </w:rPr>
        <w:t>门做好全区性重要会议和重大活动的筹备工作。</w:t>
      </w:r>
    </w:p>
    <w:p>
      <w:pPr>
        <w:pStyle w:val="8"/>
        <w:numPr>
          <w:ilvl w:val="0"/>
          <w:numId w:val="1"/>
        </w:numPr>
        <w:tabs>
          <w:tab w:val="left" w:pos="989"/>
        </w:tabs>
        <w:spacing w:before="192" w:after="0" w:line="328" w:lineRule="auto"/>
        <w:ind w:left="106" w:right="271" w:firstLine="640"/>
        <w:jc w:val="both"/>
        <w:rPr>
          <w:sz w:val="32"/>
        </w:rPr>
      </w:pPr>
      <w:r>
        <w:rPr>
          <w:spacing w:val="-2"/>
          <w:w w:val="95"/>
          <w:sz w:val="32"/>
        </w:rPr>
        <w:t>负责起草区政府重要决策方案，年</w:t>
      </w:r>
      <w:r>
        <w:rPr>
          <w:w w:val="95"/>
          <w:sz w:val="32"/>
        </w:rPr>
        <w:t>（季</w:t>
      </w:r>
      <w:r>
        <w:rPr>
          <w:spacing w:val="-7"/>
          <w:w w:val="95"/>
          <w:sz w:val="32"/>
        </w:rPr>
        <w:t>）</w:t>
      </w:r>
      <w:r>
        <w:rPr>
          <w:spacing w:val="-2"/>
          <w:w w:val="95"/>
          <w:sz w:val="32"/>
        </w:rPr>
        <w:t xml:space="preserve">度工作计划、总 </w:t>
      </w:r>
      <w:r>
        <w:rPr>
          <w:spacing w:val="-12"/>
          <w:sz w:val="32"/>
        </w:rPr>
        <w:t>结，向上级汇报的有关材料，区政府领导在全区性重要会议上的</w:t>
      </w:r>
      <w:r>
        <w:rPr>
          <w:spacing w:val="-16"/>
          <w:sz w:val="32"/>
        </w:rPr>
        <w:t>讲话稿及以区政府或区政府办公室名义上报、下发的文</w:t>
      </w:r>
      <w:r>
        <w:rPr>
          <w:sz w:val="32"/>
        </w:rPr>
        <w:t>（函</w:t>
      </w:r>
      <w:r>
        <w:rPr>
          <w:spacing w:val="-39"/>
          <w:sz w:val="32"/>
        </w:rPr>
        <w:t>）</w:t>
      </w:r>
      <w:r>
        <w:rPr>
          <w:sz w:val="32"/>
        </w:rPr>
        <w:t>稿和发布的公文。</w:t>
      </w:r>
    </w:p>
    <w:p>
      <w:pPr>
        <w:pStyle w:val="8"/>
        <w:numPr>
          <w:ilvl w:val="0"/>
          <w:numId w:val="1"/>
        </w:numPr>
        <w:tabs>
          <w:tab w:val="left" w:pos="989"/>
        </w:tabs>
        <w:spacing w:before="194" w:after="0" w:line="328" w:lineRule="auto"/>
        <w:ind w:left="106" w:right="271" w:firstLine="640"/>
        <w:jc w:val="both"/>
        <w:rPr>
          <w:sz w:val="32"/>
        </w:rPr>
      </w:pPr>
      <w:r>
        <w:rPr>
          <w:spacing w:val="-3"/>
          <w:w w:val="95"/>
          <w:sz w:val="32"/>
        </w:rPr>
        <w:t xml:space="preserve">负责对区政府各部门、各街道办事处执行区委、区人大及 </w:t>
      </w:r>
      <w:r>
        <w:rPr>
          <w:spacing w:val="-12"/>
          <w:sz w:val="32"/>
        </w:rPr>
        <w:t>其常务委员会、区政府有关决议决定和交办事项的情况进行检查督办。</w:t>
      </w:r>
    </w:p>
    <w:p>
      <w:pPr>
        <w:spacing w:after="0" w:line="328" w:lineRule="auto"/>
        <w:jc w:val="both"/>
        <w:rPr>
          <w:sz w:val="32"/>
        </w:rPr>
        <w:sectPr>
          <w:pgSz w:w="11910" w:h="16840"/>
          <w:pgMar w:top="1580" w:right="1200" w:bottom="1400" w:left="1480" w:header="0" w:footer="1204" w:gutter="0"/>
        </w:sectPr>
      </w:pPr>
    </w:p>
    <w:p>
      <w:pPr>
        <w:pStyle w:val="4"/>
        <w:rPr>
          <w:sz w:val="20"/>
        </w:rPr>
      </w:pPr>
    </w:p>
    <w:p>
      <w:pPr>
        <w:pStyle w:val="4"/>
        <w:spacing w:before="1"/>
        <w:rPr>
          <w:sz w:val="24"/>
        </w:rPr>
      </w:pPr>
    </w:p>
    <w:p>
      <w:pPr>
        <w:pStyle w:val="8"/>
        <w:numPr>
          <w:ilvl w:val="0"/>
          <w:numId w:val="1"/>
        </w:numPr>
        <w:tabs>
          <w:tab w:val="left" w:pos="989"/>
        </w:tabs>
        <w:spacing w:before="64" w:after="0" w:line="326" w:lineRule="auto"/>
        <w:ind w:left="106" w:right="273" w:firstLine="640"/>
        <w:jc w:val="left"/>
        <w:rPr>
          <w:sz w:val="32"/>
        </w:rPr>
      </w:pPr>
      <w:r>
        <w:rPr>
          <w:spacing w:val="-3"/>
          <w:w w:val="95"/>
          <w:sz w:val="32"/>
        </w:rPr>
        <w:t xml:space="preserve">负责办理人民代表大会的议案，代表的建议、批评、意见 </w:t>
      </w:r>
      <w:r>
        <w:rPr>
          <w:spacing w:val="-3"/>
          <w:sz w:val="32"/>
        </w:rPr>
        <w:t>和政协委员的提案。</w:t>
      </w:r>
    </w:p>
    <w:p>
      <w:pPr>
        <w:pStyle w:val="8"/>
        <w:numPr>
          <w:ilvl w:val="0"/>
          <w:numId w:val="1"/>
        </w:numPr>
        <w:tabs>
          <w:tab w:val="left" w:pos="989"/>
        </w:tabs>
        <w:spacing w:before="205" w:after="0" w:line="328" w:lineRule="auto"/>
        <w:ind w:left="106" w:right="158" w:firstLine="640"/>
        <w:jc w:val="left"/>
        <w:rPr>
          <w:sz w:val="32"/>
        </w:rPr>
      </w:pPr>
      <w:r>
        <w:rPr>
          <w:sz w:val="32"/>
        </w:rPr>
        <w:t xml:space="preserve">负责拟定和组织区政府有关职能部门拟定区政府实施法 </w:t>
      </w:r>
      <w:r>
        <w:rPr>
          <w:spacing w:val="-12"/>
          <w:sz w:val="32"/>
        </w:rPr>
        <w:t xml:space="preserve">律、法规的政策措施、制度、办法，并按规定报上级政府法制部门备案。审查区政府各职能部门起草、制定的规范性文件，并进行业务指导；负责清理、汇编区政府的政策措施和规范性文件； </w:t>
      </w:r>
      <w:r>
        <w:rPr>
          <w:spacing w:val="-14"/>
          <w:sz w:val="32"/>
        </w:rPr>
        <w:t>负责检查、督促行政规章、行政决定的贯彻实施；组织进行行政执法检查，对行政执法中出现的问题进行研究和协调处理；做好行政复议和应诉工作。</w:t>
      </w:r>
    </w:p>
    <w:p>
      <w:pPr>
        <w:pStyle w:val="8"/>
        <w:numPr>
          <w:ilvl w:val="0"/>
          <w:numId w:val="1"/>
        </w:numPr>
        <w:tabs>
          <w:tab w:val="left" w:pos="989"/>
        </w:tabs>
        <w:spacing w:before="187" w:after="0" w:line="328" w:lineRule="auto"/>
        <w:ind w:left="106" w:right="273" w:firstLine="640"/>
        <w:jc w:val="left"/>
        <w:rPr>
          <w:sz w:val="32"/>
        </w:rPr>
      </w:pPr>
      <w:r>
        <w:rPr>
          <w:spacing w:val="-5"/>
          <w:w w:val="95"/>
          <w:sz w:val="32"/>
        </w:rPr>
        <w:t xml:space="preserve">处理群众来电、来信，接待群众来访，及时向区委、区政 </w:t>
      </w:r>
      <w:r>
        <w:rPr>
          <w:spacing w:val="-5"/>
          <w:sz w:val="32"/>
        </w:rPr>
        <w:t>府相关领导报告人民群众来电来信来访中提出的重要建议和反映的重大问题。</w:t>
      </w:r>
    </w:p>
    <w:p>
      <w:pPr>
        <w:pStyle w:val="8"/>
        <w:numPr>
          <w:ilvl w:val="0"/>
          <w:numId w:val="1"/>
        </w:numPr>
        <w:tabs>
          <w:tab w:val="left" w:pos="1150"/>
        </w:tabs>
        <w:spacing w:before="196" w:after="0" w:line="328" w:lineRule="auto"/>
        <w:ind w:left="106" w:right="271" w:firstLine="640"/>
        <w:jc w:val="left"/>
        <w:rPr>
          <w:sz w:val="32"/>
        </w:rPr>
      </w:pPr>
      <w:r>
        <w:rPr>
          <w:sz w:val="32"/>
        </w:rPr>
        <w:t>督促检查区政府各部门、各街道办事处对区政府决定事</w:t>
      </w:r>
      <w:r>
        <w:rPr>
          <w:spacing w:val="-7"/>
          <w:sz w:val="32"/>
        </w:rPr>
        <w:t>项及区政府领导批示的贯彻落实情况，分解、下达区政府年度主</w:t>
      </w:r>
      <w:r>
        <w:rPr>
          <w:spacing w:val="-13"/>
          <w:sz w:val="32"/>
        </w:rPr>
        <w:t>要工作目标任务，组织开展目标督查考核，督促、落实、反馈法</w:t>
      </w:r>
      <w:r>
        <w:rPr>
          <w:spacing w:val="-14"/>
          <w:w w:val="95"/>
          <w:sz w:val="32"/>
        </w:rPr>
        <w:t xml:space="preserve">制政府、责任政府、阳光政府、效能政府建设推进情况，及时向 </w:t>
      </w:r>
      <w:r>
        <w:rPr>
          <w:spacing w:val="-14"/>
          <w:sz w:val="32"/>
        </w:rPr>
        <w:t>区政府领导报告，指导政府系统目标管理督查工作。</w:t>
      </w:r>
    </w:p>
    <w:p>
      <w:pPr>
        <w:pStyle w:val="8"/>
        <w:numPr>
          <w:ilvl w:val="0"/>
          <w:numId w:val="1"/>
        </w:numPr>
        <w:tabs>
          <w:tab w:val="left" w:pos="1150"/>
        </w:tabs>
        <w:spacing w:before="192" w:after="0" w:line="326" w:lineRule="auto"/>
        <w:ind w:left="106" w:right="158" w:firstLine="640"/>
        <w:jc w:val="left"/>
        <w:rPr>
          <w:sz w:val="32"/>
        </w:rPr>
      </w:pPr>
      <w:r>
        <w:rPr>
          <w:sz w:val="32"/>
        </w:rPr>
        <w:t>负责呈贡区人民政府应急值班工作，及时向区政府领导</w:t>
      </w:r>
      <w:r>
        <w:rPr>
          <w:spacing w:val="-11"/>
          <w:sz w:val="32"/>
        </w:rPr>
        <w:t>报告重要情况，传达和督促落实领导指示；协助区政府领导做好需由呈贡区人民政府组织处理的突发公共事件的应急处置工作。</w:t>
      </w:r>
    </w:p>
    <w:p>
      <w:pPr>
        <w:spacing w:after="0" w:line="326" w:lineRule="auto"/>
        <w:jc w:val="left"/>
        <w:rPr>
          <w:sz w:val="32"/>
        </w:rPr>
        <w:sectPr>
          <w:pgSz w:w="11910" w:h="16840"/>
          <w:pgMar w:top="1580" w:right="1200" w:bottom="1400" w:left="1480" w:header="0" w:footer="1204" w:gutter="0"/>
        </w:sectPr>
      </w:pPr>
    </w:p>
    <w:p>
      <w:pPr>
        <w:pStyle w:val="4"/>
        <w:rPr>
          <w:sz w:val="20"/>
        </w:rPr>
      </w:pPr>
    </w:p>
    <w:p>
      <w:pPr>
        <w:pStyle w:val="4"/>
        <w:spacing w:before="1"/>
        <w:rPr>
          <w:sz w:val="24"/>
        </w:rPr>
      </w:pPr>
    </w:p>
    <w:p>
      <w:pPr>
        <w:pStyle w:val="8"/>
        <w:numPr>
          <w:ilvl w:val="0"/>
          <w:numId w:val="1"/>
        </w:numPr>
        <w:tabs>
          <w:tab w:val="left" w:pos="1150"/>
        </w:tabs>
        <w:spacing w:before="64" w:after="0" w:line="326" w:lineRule="auto"/>
        <w:ind w:left="106" w:right="158" w:firstLine="640"/>
        <w:jc w:val="left"/>
        <w:rPr>
          <w:sz w:val="32"/>
        </w:rPr>
      </w:pPr>
      <w:r>
        <w:rPr>
          <w:sz w:val="32"/>
        </w:rPr>
        <w:t>负责做好各类文件、电报、资料的签收、登记、传阅、交办、清退、立卷归档、保管、销毁和区政府及其办公室上报、下发文（函）件的登记、编号、送审、打印、发送工作。</w:t>
      </w:r>
    </w:p>
    <w:p>
      <w:pPr>
        <w:pStyle w:val="8"/>
        <w:numPr>
          <w:ilvl w:val="0"/>
          <w:numId w:val="1"/>
        </w:numPr>
        <w:tabs>
          <w:tab w:val="left" w:pos="1150"/>
        </w:tabs>
        <w:spacing w:before="207" w:after="0" w:line="326" w:lineRule="auto"/>
        <w:ind w:left="106" w:right="396" w:firstLine="640"/>
        <w:jc w:val="left"/>
        <w:rPr>
          <w:sz w:val="32"/>
        </w:rPr>
      </w:pPr>
      <w:r>
        <w:rPr>
          <w:sz w:val="32"/>
        </w:rPr>
        <w:t>负责管理、使用区政府、区政府党组、区政府办公室的印鉴。</w:t>
      </w:r>
    </w:p>
    <w:p>
      <w:pPr>
        <w:pStyle w:val="8"/>
        <w:numPr>
          <w:ilvl w:val="0"/>
          <w:numId w:val="1"/>
        </w:numPr>
        <w:tabs>
          <w:tab w:val="left" w:pos="1150"/>
        </w:tabs>
        <w:spacing w:before="205" w:after="0" w:line="240" w:lineRule="auto"/>
        <w:ind w:left="1149" w:right="0" w:hanging="403"/>
        <w:jc w:val="left"/>
        <w:rPr>
          <w:sz w:val="32"/>
        </w:rPr>
      </w:pPr>
      <w:r>
        <w:rPr>
          <w:sz w:val="32"/>
        </w:rPr>
        <w:t>负责呈贡区外事工作。</w:t>
      </w:r>
    </w:p>
    <w:p>
      <w:pPr>
        <w:pStyle w:val="4"/>
        <w:spacing w:before="4"/>
        <w:rPr>
          <w:sz w:val="27"/>
        </w:rPr>
      </w:pPr>
    </w:p>
    <w:p>
      <w:pPr>
        <w:pStyle w:val="8"/>
        <w:numPr>
          <w:ilvl w:val="0"/>
          <w:numId w:val="1"/>
        </w:numPr>
        <w:tabs>
          <w:tab w:val="left" w:pos="1150"/>
        </w:tabs>
        <w:spacing w:before="0" w:after="0" w:line="240" w:lineRule="auto"/>
        <w:ind w:left="1149" w:right="0" w:hanging="403"/>
        <w:jc w:val="left"/>
        <w:rPr>
          <w:sz w:val="32"/>
        </w:rPr>
      </w:pPr>
      <w:r>
        <w:rPr>
          <w:sz w:val="32"/>
        </w:rPr>
        <w:t>承办区委、区政府和上级机关交办的其他事项。</w:t>
      </w:r>
    </w:p>
    <w:p>
      <w:pPr>
        <w:pStyle w:val="4"/>
        <w:spacing w:before="3"/>
        <w:rPr>
          <w:sz w:val="27"/>
        </w:rPr>
      </w:pPr>
    </w:p>
    <w:p>
      <w:pPr>
        <w:pStyle w:val="4"/>
        <w:ind w:left="747"/>
      </w:pPr>
      <w:r>
        <w:t>（二）机构设置情况</w:t>
      </w:r>
    </w:p>
    <w:p>
      <w:pPr>
        <w:pStyle w:val="4"/>
        <w:spacing w:before="5"/>
        <w:rPr>
          <w:sz w:val="27"/>
        </w:rPr>
      </w:pPr>
    </w:p>
    <w:p>
      <w:pPr>
        <w:pStyle w:val="4"/>
        <w:spacing w:line="328" w:lineRule="auto"/>
        <w:ind w:left="106" w:right="114" w:firstLine="640"/>
      </w:pPr>
      <w:r>
        <w:rPr>
          <w:spacing w:val="-13"/>
        </w:rPr>
        <w:t xml:space="preserve">我部门共设置 </w:t>
      </w:r>
      <w:r>
        <w:rPr>
          <w:rFonts w:ascii="Times New Roman" w:eastAsia="Times New Roman"/>
        </w:rPr>
        <w:t xml:space="preserve">10 </w:t>
      </w:r>
      <w:r>
        <w:rPr>
          <w:spacing w:val="-11"/>
        </w:rPr>
        <w:t>个内设机构，包括：秘书一科、秘书二科、</w:t>
      </w:r>
      <w:r>
        <w:rPr>
          <w:spacing w:val="-13"/>
        </w:rPr>
        <w:t>综合科、办文科、信息科、外事科、督查科、热线办、信息公开办、总值班室。</w:t>
      </w:r>
    </w:p>
    <w:p>
      <w:pPr>
        <w:pStyle w:val="4"/>
        <w:spacing w:before="194"/>
        <w:ind w:left="747"/>
      </w:pPr>
      <w:r>
        <w:t xml:space="preserve">所属单位 </w:t>
      </w:r>
      <w:r>
        <w:rPr>
          <w:rFonts w:ascii="Times New Roman" w:eastAsia="Times New Roman"/>
        </w:rPr>
        <w:t xml:space="preserve">0 </w:t>
      </w:r>
      <w:r>
        <w:t>个。</w:t>
      </w:r>
    </w:p>
    <w:p>
      <w:pPr>
        <w:pStyle w:val="4"/>
        <w:spacing w:before="5"/>
        <w:rPr>
          <w:sz w:val="27"/>
        </w:rPr>
      </w:pPr>
    </w:p>
    <w:p>
      <w:pPr>
        <w:pStyle w:val="4"/>
        <w:ind w:left="747"/>
      </w:pPr>
      <w:r>
        <w:t>（三）重点工作概述</w:t>
      </w:r>
    </w:p>
    <w:p>
      <w:pPr>
        <w:pStyle w:val="4"/>
        <w:spacing w:before="4"/>
        <w:rPr>
          <w:sz w:val="27"/>
        </w:rPr>
      </w:pPr>
    </w:p>
    <w:p>
      <w:pPr>
        <w:pStyle w:val="8"/>
        <w:numPr>
          <w:ilvl w:val="0"/>
          <w:numId w:val="2"/>
        </w:numPr>
        <w:tabs>
          <w:tab w:val="left" w:pos="989"/>
        </w:tabs>
        <w:spacing w:before="1" w:after="0" w:line="328" w:lineRule="auto"/>
        <w:ind w:left="106" w:right="158" w:firstLine="640"/>
        <w:jc w:val="left"/>
        <w:rPr>
          <w:sz w:val="32"/>
        </w:rPr>
      </w:pPr>
      <w:r>
        <w:rPr>
          <w:spacing w:val="-3"/>
          <w:sz w:val="32"/>
        </w:rPr>
        <w:t>做好区政府领导的各类文稿起草、文电处理和日常服务工作及区政府和区政府领导向市委、市政府和区委的各类汇报稿、</w:t>
      </w:r>
      <w:r>
        <w:rPr>
          <w:spacing w:val="-12"/>
          <w:sz w:val="32"/>
        </w:rPr>
        <w:t>对外情况介绍、经验交流等文稿材料的起草工作，切实发挥以文辅政作用。</w:t>
      </w:r>
    </w:p>
    <w:p>
      <w:pPr>
        <w:pStyle w:val="8"/>
        <w:numPr>
          <w:ilvl w:val="0"/>
          <w:numId w:val="2"/>
        </w:numPr>
        <w:tabs>
          <w:tab w:val="left" w:pos="989"/>
        </w:tabs>
        <w:spacing w:before="0" w:after="0" w:line="326" w:lineRule="auto"/>
        <w:ind w:left="106" w:right="114" w:firstLine="640"/>
        <w:jc w:val="left"/>
        <w:rPr>
          <w:sz w:val="32"/>
        </w:rPr>
      </w:pPr>
      <w:r>
        <w:rPr>
          <w:spacing w:val="-4"/>
          <w:sz w:val="32"/>
        </w:rPr>
        <w:t>组织好区政府全会、区政府常务会等全区性重要会议的会</w:t>
      </w:r>
      <w:r>
        <w:rPr>
          <w:spacing w:val="-20"/>
          <w:w w:val="95"/>
          <w:sz w:val="32"/>
        </w:rPr>
        <w:t>务服务工作，统筹做好区政府主要领导重要工作、活动计划安排。</w:t>
      </w:r>
    </w:p>
    <w:p>
      <w:pPr>
        <w:spacing w:after="0" w:line="326" w:lineRule="auto"/>
        <w:jc w:val="left"/>
        <w:rPr>
          <w:sz w:val="32"/>
        </w:rPr>
        <w:sectPr>
          <w:pgSz w:w="11910" w:h="16840"/>
          <w:pgMar w:top="1580" w:right="1200" w:bottom="1400" w:left="1480" w:header="0" w:footer="1204" w:gutter="0"/>
        </w:sectPr>
      </w:pPr>
    </w:p>
    <w:p>
      <w:pPr>
        <w:pStyle w:val="4"/>
        <w:rPr>
          <w:sz w:val="20"/>
        </w:rPr>
      </w:pPr>
    </w:p>
    <w:p>
      <w:pPr>
        <w:pStyle w:val="4"/>
        <w:spacing w:before="1"/>
        <w:rPr>
          <w:sz w:val="24"/>
        </w:rPr>
      </w:pPr>
    </w:p>
    <w:p>
      <w:pPr>
        <w:pStyle w:val="8"/>
        <w:numPr>
          <w:ilvl w:val="0"/>
          <w:numId w:val="2"/>
        </w:numPr>
        <w:tabs>
          <w:tab w:val="left" w:pos="989"/>
        </w:tabs>
        <w:spacing w:before="64" w:after="0" w:line="326" w:lineRule="auto"/>
        <w:ind w:left="106" w:right="273" w:firstLine="640"/>
        <w:jc w:val="left"/>
        <w:rPr>
          <w:sz w:val="32"/>
        </w:rPr>
      </w:pPr>
      <w:r>
        <w:rPr>
          <w:spacing w:val="-4"/>
          <w:sz w:val="32"/>
        </w:rPr>
        <w:t>牵头做好信访工作，信访人员严格控制在市级下达的指标范围以内。</w:t>
      </w:r>
    </w:p>
    <w:p>
      <w:pPr>
        <w:pStyle w:val="8"/>
        <w:numPr>
          <w:ilvl w:val="0"/>
          <w:numId w:val="2"/>
        </w:numPr>
        <w:tabs>
          <w:tab w:val="left" w:pos="989"/>
        </w:tabs>
        <w:spacing w:before="4" w:after="0" w:line="328" w:lineRule="auto"/>
        <w:ind w:left="106" w:right="237" w:firstLine="640"/>
        <w:jc w:val="left"/>
        <w:rPr>
          <w:sz w:val="32"/>
        </w:rPr>
      </w:pPr>
      <w:r>
        <w:rPr>
          <w:spacing w:val="-29"/>
          <w:sz w:val="32"/>
        </w:rPr>
        <w:t xml:space="preserve">做好 </w:t>
      </w:r>
      <w:r>
        <w:rPr>
          <w:rFonts w:ascii="Times New Roman" w:eastAsia="Times New Roman"/>
          <w:sz w:val="32"/>
        </w:rPr>
        <w:t>12345</w:t>
      </w:r>
      <w:r>
        <w:rPr>
          <w:rFonts w:ascii="Times New Roman" w:eastAsia="Times New Roman"/>
          <w:spacing w:val="-5"/>
          <w:sz w:val="32"/>
        </w:rPr>
        <w:t xml:space="preserve"> </w:t>
      </w:r>
      <w:r>
        <w:rPr>
          <w:sz w:val="32"/>
        </w:rPr>
        <w:t xml:space="preserve">市长热线平台群众反映问题的交办转办工作， </w:t>
      </w:r>
      <w:r>
        <w:rPr>
          <w:spacing w:val="-8"/>
          <w:sz w:val="32"/>
        </w:rPr>
        <w:t xml:space="preserve">市长热线交办件办理率 </w:t>
      </w:r>
      <w:r>
        <w:rPr>
          <w:rFonts w:ascii="Times New Roman" w:eastAsia="Times New Roman"/>
          <w:sz w:val="32"/>
        </w:rPr>
        <w:t>100%</w:t>
      </w:r>
      <w:r>
        <w:rPr>
          <w:spacing w:val="-17"/>
          <w:sz w:val="32"/>
        </w:rPr>
        <w:t xml:space="preserve">，办结率 </w:t>
      </w:r>
      <w:r>
        <w:rPr>
          <w:rFonts w:ascii="Times New Roman" w:eastAsia="Times New Roman"/>
          <w:sz w:val="32"/>
        </w:rPr>
        <w:t>100%</w:t>
      </w:r>
      <w:r>
        <w:rPr>
          <w:spacing w:val="-12"/>
          <w:sz w:val="32"/>
        </w:rPr>
        <w:t xml:space="preserve">，群众满意率 </w:t>
      </w:r>
      <w:r>
        <w:rPr>
          <w:rFonts w:ascii="Times New Roman" w:eastAsia="Times New Roman"/>
          <w:sz w:val="32"/>
        </w:rPr>
        <w:t xml:space="preserve">98% </w:t>
      </w:r>
      <w:r>
        <w:rPr>
          <w:sz w:val="32"/>
        </w:rPr>
        <w:t>以上。</w:t>
      </w:r>
    </w:p>
    <w:p>
      <w:pPr>
        <w:pStyle w:val="8"/>
        <w:numPr>
          <w:ilvl w:val="0"/>
          <w:numId w:val="2"/>
        </w:numPr>
        <w:tabs>
          <w:tab w:val="left" w:pos="989"/>
        </w:tabs>
        <w:spacing w:before="0" w:after="0" w:line="405" w:lineRule="exact"/>
        <w:ind w:left="988" w:right="0" w:hanging="242"/>
        <w:jc w:val="left"/>
        <w:rPr>
          <w:sz w:val="32"/>
        </w:rPr>
      </w:pPr>
      <w:r>
        <w:rPr>
          <w:sz w:val="32"/>
        </w:rPr>
        <w:t>做好因公出国（境）管理和报批及外事接待工作。</w:t>
      </w:r>
    </w:p>
    <w:p>
      <w:pPr>
        <w:pStyle w:val="8"/>
        <w:numPr>
          <w:ilvl w:val="0"/>
          <w:numId w:val="2"/>
        </w:numPr>
        <w:tabs>
          <w:tab w:val="left" w:pos="989"/>
        </w:tabs>
        <w:spacing w:before="151" w:after="0" w:line="326" w:lineRule="auto"/>
        <w:ind w:left="106" w:right="273" w:firstLine="640"/>
        <w:jc w:val="left"/>
        <w:rPr>
          <w:sz w:val="32"/>
        </w:rPr>
      </w:pPr>
      <w:r>
        <w:rPr>
          <w:spacing w:val="-4"/>
          <w:w w:val="95"/>
          <w:sz w:val="32"/>
        </w:rPr>
        <w:t xml:space="preserve">牵头做好政务信息工作，加强对全区政府系统政务信息工 </w:t>
      </w:r>
      <w:r>
        <w:rPr>
          <w:spacing w:val="-4"/>
          <w:sz w:val="32"/>
        </w:rPr>
        <w:t>作的统筹，指导督促各责任部门完成政务信息工作目标任务。</w:t>
      </w:r>
    </w:p>
    <w:p>
      <w:pPr>
        <w:pStyle w:val="8"/>
        <w:numPr>
          <w:ilvl w:val="0"/>
          <w:numId w:val="2"/>
        </w:numPr>
        <w:tabs>
          <w:tab w:val="left" w:pos="989"/>
        </w:tabs>
        <w:spacing w:before="3" w:after="0" w:line="328" w:lineRule="auto"/>
        <w:ind w:left="106" w:right="273" w:firstLine="640"/>
        <w:jc w:val="left"/>
        <w:rPr>
          <w:sz w:val="32"/>
        </w:rPr>
      </w:pPr>
      <w:r>
        <w:rPr>
          <w:spacing w:val="-3"/>
          <w:sz w:val="32"/>
        </w:rPr>
        <w:t>牵头做好政府政务信息公开工作，组织开展全区政府信息公开评议、评估工作。</w:t>
      </w:r>
    </w:p>
    <w:p>
      <w:pPr>
        <w:pStyle w:val="4"/>
        <w:spacing w:line="407" w:lineRule="exact"/>
        <w:ind w:left="747"/>
        <w:rPr>
          <w:rFonts w:hint="eastAsia" w:ascii="黑体" w:eastAsia="黑体"/>
        </w:rPr>
      </w:pPr>
      <w:r>
        <w:rPr>
          <w:rFonts w:hint="eastAsia" w:ascii="黑体" w:eastAsia="黑体"/>
        </w:rPr>
        <w:t>二、预算单位基本情况</w:t>
      </w:r>
    </w:p>
    <w:p>
      <w:pPr>
        <w:pStyle w:val="4"/>
        <w:spacing w:before="5"/>
        <w:rPr>
          <w:rFonts w:ascii="黑体"/>
          <w:sz w:val="27"/>
        </w:rPr>
      </w:pPr>
    </w:p>
    <w:p>
      <w:pPr>
        <w:pStyle w:val="4"/>
        <w:ind w:right="273"/>
        <w:jc w:val="right"/>
      </w:pPr>
      <w:r>
        <w:rPr>
          <w:spacing w:val="-13"/>
        </w:rPr>
        <w:t xml:space="preserve">我部门编制 </w:t>
      </w:r>
      <w:r>
        <w:rPr>
          <w:rFonts w:ascii="Times New Roman" w:eastAsia="Times New Roman"/>
        </w:rPr>
        <w:t>2023</w:t>
      </w:r>
      <w:r>
        <w:rPr>
          <w:rFonts w:ascii="Times New Roman" w:eastAsia="Times New Roman"/>
          <w:spacing w:val="2"/>
        </w:rPr>
        <w:t xml:space="preserve"> </w:t>
      </w:r>
      <w:r>
        <w:rPr>
          <w:spacing w:val="-9"/>
        </w:rPr>
        <w:t xml:space="preserve">年部门预算单位共 </w:t>
      </w:r>
      <w:r>
        <w:rPr>
          <w:rFonts w:ascii="Times New Roman" w:eastAsia="Times New Roman"/>
        </w:rPr>
        <w:t>1</w:t>
      </w:r>
      <w:r>
        <w:rPr>
          <w:rFonts w:ascii="Times New Roman" w:eastAsia="Times New Roman"/>
          <w:spacing w:val="4"/>
        </w:rPr>
        <w:t xml:space="preserve"> </w:t>
      </w:r>
      <w:r>
        <w:t>个。其中：财政全额</w:t>
      </w:r>
    </w:p>
    <w:p>
      <w:pPr>
        <w:pStyle w:val="4"/>
        <w:spacing w:before="149"/>
        <w:ind w:right="271"/>
        <w:jc w:val="right"/>
      </w:pPr>
      <w:r>
        <w:rPr>
          <w:spacing w:val="-17"/>
        </w:rPr>
        <w:t xml:space="preserve">供给单位 </w:t>
      </w:r>
      <w:r>
        <w:rPr>
          <w:rFonts w:ascii="Times New Roman" w:eastAsia="Times New Roman"/>
        </w:rPr>
        <w:t>1</w:t>
      </w:r>
      <w:r>
        <w:rPr>
          <w:rFonts w:ascii="Times New Roman" w:eastAsia="Times New Roman"/>
          <w:spacing w:val="-2"/>
        </w:rPr>
        <w:t xml:space="preserve"> </w:t>
      </w:r>
      <w:r>
        <w:rPr>
          <w:spacing w:val="-16"/>
        </w:rPr>
        <w:t xml:space="preserve">个、差额供给单位 </w:t>
      </w:r>
      <w:r>
        <w:rPr>
          <w:rFonts w:ascii="Times New Roman" w:eastAsia="Times New Roman"/>
        </w:rPr>
        <w:t>0</w:t>
      </w:r>
      <w:r>
        <w:rPr>
          <w:rFonts w:ascii="Times New Roman" w:eastAsia="Times New Roman"/>
          <w:spacing w:val="-2"/>
        </w:rPr>
        <w:t xml:space="preserve"> </w:t>
      </w:r>
      <w:r>
        <w:rPr>
          <w:spacing w:val="-16"/>
        </w:rPr>
        <w:t xml:space="preserve">个、定额补助单位 </w:t>
      </w:r>
      <w:r>
        <w:rPr>
          <w:rFonts w:ascii="Times New Roman" w:eastAsia="Times New Roman"/>
        </w:rPr>
        <w:t>0</w:t>
      </w:r>
      <w:r>
        <w:rPr>
          <w:rFonts w:ascii="Times New Roman" w:eastAsia="Times New Roman"/>
          <w:spacing w:val="-2"/>
        </w:rPr>
        <w:t xml:space="preserve"> </w:t>
      </w:r>
      <w:r>
        <w:rPr>
          <w:spacing w:val="-8"/>
        </w:rPr>
        <w:t>个、自收自</w:t>
      </w:r>
    </w:p>
    <w:p>
      <w:pPr>
        <w:pStyle w:val="4"/>
        <w:spacing w:before="150"/>
        <w:ind w:left="106"/>
      </w:pPr>
      <w:r>
        <w:rPr>
          <w:spacing w:val="-21"/>
        </w:rPr>
        <w:t xml:space="preserve">支单位 </w:t>
      </w:r>
      <w:r>
        <w:rPr>
          <w:rFonts w:ascii="Times New Roman" w:eastAsia="Times New Roman"/>
        </w:rPr>
        <w:t xml:space="preserve">0 </w:t>
      </w:r>
      <w:r>
        <w:rPr>
          <w:spacing w:val="-18"/>
        </w:rPr>
        <w:t xml:space="preserve">个。财政全额供给单位中行政单位 </w:t>
      </w:r>
      <w:r>
        <w:rPr>
          <w:rFonts w:ascii="Times New Roman" w:eastAsia="Times New Roman"/>
        </w:rPr>
        <w:t xml:space="preserve">1 </w:t>
      </w:r>
      <w:r>
        <w:rPr>
          <w:spacing w:val="-32"/>
        </w:rPr>
        <w:t xml:space="preserve">个、参公单位 </w:t>
      </w:r>
      <w:r>
        <w:rPr>
          <w:rFonts w:ascii="Times New Roman" w:eastAsia="Times New Roman"/>
        </w:rPr>
        <w:t xml:space="preserve">0 </w:t>
      </w:r>
      <w:r>
        <w:t>个、</w:t>
      </w:r>
    </w:p>
    <w:p>
      <w:pPr>
        <w:pStyle w:val="4"/>
        <w:spacing w:before="151"/>
        <w:ind w:left="106"/>
      </w:pPr>
      <w:r>
        <w:t xml:space="preserve">事业单位 </w:t>
      </w:r>
      <w:r>
        <w:rPr>
          <w:rFonts w:ascii="Times New Roman" w:eastAsia="Times New Roman"/>
        </w:rPr>
        <w:t xml:space="preserve">0 </w:t>
      </w:r>
      <w:r>
        <w:t xml:space="preserve">个。截止 </w:t>
      </w:r>
      <w:r>
        <w:rPr>
          <w:rFonts w:ascii="Times New Roman" w:eastAsia="Times New Roman"/>
        </w:rPr>
        <w:t xml:space="preserve">2022 </w:t>
      </w:r>
      <w:r>
        <w:t xml:space="preserve">年 </w:t>
      </w:r>
      <w:r>
        <w:rPr>
          <w:rFonts w:ascii="Times New Roman" w:eastAsia="Times New Roman"/>
        </w:rPr>
        <w:t xml:space="preserve">12 </w:t>
      </w:r>
      <w:r>
        <w:t>月统计，部门基本情况如下：</w:t>
      </w:r>
    </w:p>
    <w:p>
      <w:pPr>
        <w:pStyle w:val="4"/>
        <w:rPr>
          <w:sz w:val="28"/>
        </w:rPr>
      </w:pPr>
    </w:p>
    <w:p>
      <w:pPr>
        <w:spacing w:before="0"/>
        <w:ind w:left="0" w:right="273" w:firstLine="0"/>
        <w:jc w:val="right"/>
        <w:rPr>
          <w:sz w:val="31"/>
        </w:rPr>
      </w:pPr>
      <w:r>
        <w:rPr>
          <w:spacing w:val="-7"/>
          <w:sz w:val="31"/>
        </w:rPr>
        <w:t xml:space="preserve">区政府办公室在职人员编制 </w:t>
      </w:r>
      <w:r>
        <w:rPr>
          <w:rFonts w:ascii="Times New Roman" w:eastAsia="Times New Roman"/>
          <w:sz w:val="31"/>
        </w:rPr>
        <w:t>31</w:t>
      </w:r>
      <w:r>
        <w:rPr>
          <w:rFonts w:ascii="Times New Roman" w:eastAsia="Times New Roman"/>
          <w:spacing w:val="-5"/>
          <w:sz w:val="31"/>
        </w:rPr>
        <w:t xml:space="preserve"> </w:t>
      </w:r>
      <w:r>
        <w:rPr>
          <w:spacing w:val="-20"/>
          <w:sz w:val="31"/>
        </w:rPr>
        <w:t xml:space="preserve">名，其中：行政编制 </w:t>
      </w:r>
      <w:r>
        <w:rPr>
          <w:rFonts w:ascii="Times New Roman" w:eastAsia="Times New Roman"/>
          <w:sz w:val="31"/>
        </w:rPr>
        <w:t>31</w:t>
      </w:r>
      <w:r>
        <w:rPr>
          <w:rFonts w:ascii="Times New Roman" w:eastAsia="Times New Roman"/>
          <w:spacing w:val="-2"/>
          <w:sz w:val="31"/>
        </w:rPr>
        <w:t xml:space="preserve"> </w:t>
      </w:r>
      <w:r>
        <w:rPr>
          <w:spacing w:val="-17"/>
          <w:sz w:val="31"/>
        </w:rPr>
        <w:t>人，事</w:t>
      </w:r>
    </w:p>
    <w:p>
      <w:pPr>
        <w:spacing w:before="162"/>
        <w:ind w:left="0" w:right="273" w:firstLine="0"/>
        <w:jc w:val="right"/>
        <w:rPr>
          <w:sz w:val="31"/>
        </w:rPr>
      </w:pPr>
      <w:r>
        <w:rPr>
          <w:spacing w:val="-20"/>
          <w:sz w:val="31"/>
        </w:rPr>
        <w:t xml:space="preserve">业编制 </w:t>
      </w:r>
      <w:r>
        <w:rPr>
          <w:rFonts w:ascii="Times New Roman" w:eastAsia="Times New Roman"/>
          <w:sz w:val="31"/>
        </w:rPr>
        <w:t>0</w:t>
      </w:r>
      <w:r>
        <w:rPr>
          <w:rFonts w:ascii="Times New Roman" w:eastAsia="Times New Roman"/>
          <w:spacing w:val="-2"/>
          <w:sz w:val="31"/>
        </w:rPr>
        <w:t xml:space="preserve"> </w:t>
      </w:r>
      <w:r>
        <w:rPr>
          <w:spacing w:val="-18"/>
          <w:sz w:val="31"/>
        </w:rPr>
        <w:t xml:space="preserve">人。在职实有 </w:t>
      </w:r>
      <w:r>
        <w:rPr>
          <w:rFonts w:ascii="Times New Roman" w:eastAsia="Times New Roman"/>
          <w:sz w:val="31"/>
        </w:rPr>
        <w:t>37</w:t>
      </w:r>
      <w:r>
        <w:rPr>
          <w:rFonts w:ascii="Times New Roman" w:eastAsia="Times New Roman"/>
          <w:spacing w:val="-4"/>
          <w:sz w:val="31"/>
        </w:rPr>
        <w:t xml:space="preserve"> </w:t>
      </w:r>
      <w:r>
        <w:rPr>
          <w:spacing w:val="-15"/>
          <w:sz w:val="31"/>
        </w:rPr>
        <w:t xml:space="preserve">人，其中：财政全额保障 </w:t>
      </w:r>
      <w:r>
        <w:rPr>
          <w:rFonts w:ascii="Times New Roman" w:eastAsia="Times New Roman"/>
          <w:sz w:val="31"/>
        </w:rPr>
        <w:t>37</w:t>
      </w:r>
      <w:r>
        <w:rPr>
          <w:rFonts w:ascii="Times New Roman" w:eastAsia="Times New Roman"/>
          <w:spacing w:val="-2"/>
          <w:sz w:val="31"/>
        </w:rPr>
        <w:t xml:space="preserve"> </w:t>
      </w:r>
      <w:r>
        <w:rPr>
          <w:spacing w:val="-8"/>
          <w:sz w:val="31"/>
        </w:rPr>
        <w:t>人，财政差</w:t>
      </w:r>
    </w:p>
    <w:p>
      <w:pPr>
        <w:spacing w:before="154"/>
        <w:ind w:left="0" w:right="296" w:firstLine="0"/>
        <w:jc w:val="right"/>
        <w:rPr>
          <w:rFonts w:ascii="Times New Roman" w:eastAsia="Times New Roman"/>
          <w:sz w:val="32"/>
        </w:rPr>
      </w:pPr>
      <w:r>
        <w:rPr>
          <w:spacing w:val="-20"/>
          <w:sz w:val="31"/>
        </w:rPr>
        <w:t xml:space="preserve">额补助 </w:t>
      </w:r>
      <w:r>
        <w:rPr>
          <w:rFonts w:ascii="Times New Roman" w:eastAsia="Times New Roman"/>
          <w:sz w:val="31"/>
        </w:rPr>
        <w:t>0</w:t>
      </w:r>
      <w:r>
        <w:rPr>
          <w:rFonts w:ascii="Times New Roman" w:eastAsia="Times New Roman"/>
          <w:spacing w:val="-3"/>
          <w:sz w:val="31"/>
        </w:rPr>
        <w:t xml:space="preserve"> </w:t>
      </w:r>
      <w:r>
        <w:rPr>
          <w:spacing w:val="-6"/>
          <w:sz w:val="31"/>
        </w:rPr>
        <w:t xml:space="preserve">人，财政专户资金、单位资金保障 </w:t>
      </w:r>
      <w:r>
        <w:rPr>
          <w:rFonts w:ascii="Times New Roman" w:eastAsia="Times New Roman"/>
          <w:sz w:val="31"/>
        </w:rPr>
        <w:t>0</w:t>
      </w:r>
      <w:r>
        <w:rPr>
          <w:rFonts w:ascii="Times New Roman" w:eastAsia="Times New Roman"/>
          <w:spacing w:val="-1"/>
          <w:sz w:val="31"/>
        </w:rPr>
        <w:t xml:space="preserve"> </w:t>
      </w:r>
      <w:r>
        <w:rPr>
          <w:sz w:val="31"/>
        </w:rPr>
        <w:t>人。</w:t>
      </w:r>
      <w:r>
        <w:rPr>
          <w:spacing w:val="-14"/>
          <w:sz w:val="32"/>
        </w:rPr>
        <w:t xml:space="preserve">离退休人员 </w:t>
      </w:r>
      <w:r>
        <w:rPr>
          <w:rFonts w:ascii="Times New Roman" w:eastAsia="Times New Roman"/>
          <w:sz w:val="32"/>
        </w:rPr>
        <w:t>18</w:t>
      </w:r>
    </w:p>
    <w:p>
      <w:pPr>
        <w:pStyle w:val="4"/>
        <w:spacing w:before="149"/>
        <w:ind w:left="106"/>
      </w:pPr>
      <w:r>
        <w:t xml:space="preserve">人，其中： 离休 </w:t>
      </w:r>
      <w:r>
        <w:rPr>
          <w:rFonts w:ascii="Times New Roman" w:eastAsia="Times New Roman"/>
        </w:rPr>
        <w:t xml:space="preserve">1 </w:t>
      </w:r>
      <w:r>
        <w:t xml:space="preserve">人，退休 </w:t>
      </w:r>
      <w:r>
        <w:rPr>
          <w:rFonts w:ascii="Times New Roman" w:eastAsia="Times New Roman"/>
        </w:rPr>
        <w:t xml:space="preserve">17 </w:t>
      </w:r>
      <w:r>
        <w:t>人。</w:t>
      </w:r>
    </w:p>
    <w:p>
      <w:pPr>
        <w:pStyle w:val="4"/>
        <w:spacing w:before="5"/>
        <w:rPr>
          <w:sz w:val="27"/>
        </w:rPr>
      </w:pPr>
    </w:p>
    <w:p>
      <w:pPr>
        <w:pStyle w:val="4"/>
        <w:ind w:left="747"/>
      </w:pPr>
      <w:r>
        <w:t xml:space="preserve">车辆编制 </w:t>
      </w:r>
      <w:r>
        <w:rPr>
          <w:rFonts w:ascii="Times New Roman" w:eastAsia="Times New Roman"/>
        </w:rPr>
        <w:t xml:space="preserve">4 </w:t>
      </w:r>
      <w:r>
        <w:t xml:space="preserve">辆，实有车辆 </w:t>
      </w:r>
      <w:r>
        <w:rPr>
          <w:rFonts w:ascii="Times New Roman" w:eastAsia="Times New Roman"/>
        </w:rPr>
        <w:t xml:space="preserve">4 </w:t>
      </w:r>
      <w:r>
        <w:t>辆。</w:t>
      </w:r>
    </w:p>
    <w:p>
      <w:pPr>
        <w:pStyle w:val="4"/>
        <w:spacing w:before="5"/>
        <w:rPr>
          <w:sz w:val="27"/>
        </w:rPr>
      </w:pPr>
    </w:p>
    <w:p>
      <w:pPr>
        <w:pStyle w:val="4"/>
        <w:ind w:left="747"/>
        <w:rPr>
          <w:rFonts w:hint="eastAsia" w:ascii="黑体" w:eastAsia="黑体"/>
        </w:rPr>
      </w:pPr>
      <w:r>
        <w:rPr>
          <w:rFonts w:hint="eastAsia" w:ascii="黑体" w:eastAsia="黑体"/>
        </w:rPr>
        <w:t>三、预算单位收入情况</w:t>
      </w:r>
    </w:p>
    <w:p>
      <w:pPr>
        <w:spacing w:after="0"/>
        <w:rPr>
          <w:rFonts w:hint="eastAsia" w:ascii="黑体" w:eastAsia="黑体"/>
        </w:rPr>
        <w:sectPr>
          <w:pgSz w:w="11910" w:h="16840"/>
          <w:pgMar w:top="1580" w:right="1200" w:bottom="1400" w:left="1480" w:header="0" w:footer="1204" w:gutter="0"/>
        </w:sectPr>
      </w:pPr>
    </w:p>
    <w:p>
      <w:pPr>
        <w:pStyle w:val="4"/>
        <w:rPr>
          <w:rFonts w:ascii="黑体"/>
          <w:sz w:val="20"/>
        </w:rPr>
      </w:pPr>
    </w:p>
    <w:p>
      <w:pPr>
        <w:pStyle w:val="4"/>
        <w:spacing w:before="11"/>
        <w:rPr>
          <w:rFonts w:ascii="黑体"/>
          <w:sz w:val="24"/>
        </w:rPr>
      </w:pPr>
    </w:p>
    <w:p>
      <w:pPr>
        <w:pStyle w:val="4"/>
        <w:spacing w:before="54"/>
        <w:ind w:left="747"/>
      </w:pPr>
      <w:r>
        <w:t>（一）部门财务收入情况</w:t>
      </w:r>
    </w:p>
    <w:p>
      <w:pPr>
        <w:pStyle w:val="4"/>
        <w:spacing w:before="3"/>
        <w:rPr>
          <w:sz w:val="27"/>
        </w:rPr>
      </w:pPr>
    </w:p>
    <w:p>
      <w:pPr>
        <w:pStyle w:val="4"/>
        <w:ind w:right="273"/>
        <w:jc w:val="right"/>
      </w:pPr>
      <w:r>
        <w:rPr>
          <w:rFonts w:ascii="Times New Roman" w:eastAsia="Times New Roman"/>
        </w:rPr>
        <w:t>2023</w:t>
      </w:r>
      <w:r>
        <w:rPr>
          <w:rFonts w:ascii="Times New Roman" w:eastAsia="Times New Roman"/>
          <w:spacing w:val="-6"/>
        </w:rPr>
        <w:t xml:space="preserve"> </w:t>
      </w:r>
      <w:r>
        <w:rPr>
          <w:spacing w:val="-10"/>
        </w:rPr>
        <w:t xml:space="preserve">年部门财务总收入 </w:t>
      </w:r>
      <w:r>
        <w:rPr>
          <w:rFonts w:ascii="Times New Roman" w:eastAsia="Times New Roman"/>
        </w:rPr>
        <w:t>1248.79</w:t>
      </w:r>
      <w:r>
        <w:rPr>
          <w:rFonts w:ascii="Times New Roman" w:eastAsia="Times New Roman"/>
          <w:spacing w:val="-6"/>
        </w:rPr>
        <w:t xml:space="preserve"> </w:t>
      </w:r>
      <w:r>
        <w:rPr>
          <w:spacing w:val="-12"/>
        </w:rPr>
        <w:t>万元，其中：一般公共预算</w:t>
      </w:r>
    </w:p>
    <w:p>
      <w:pPr>
        <w:pStyle w:val="4"/>
        <w:spacing w:before="151"/>
        <w:ind w:right="273"/>
        <w:jc w:val="right"/>
      </w:pPr>
      <w:r>
        <w:rPr>
          <w:rFonts w:ascii="Times New Roman" w:eastAsia="Times New Roman"/>
        </w:rPr>
        <w:t>1248.79</w:t>
      </w:r>
      <w:r>
        <w:rPr>
          <w:rFonts w:ascii="Times New Roman" w:eastAsia="Times New Roman"/>
          <w:spacing w:val="1"/>
        </w:rPr>
        <w:t xml:space="preserve"> </w:t>
      </w:r>
      <w:r>
        <w:rPr>
          <w:spacing w:val="-9"/>
        </w:rPr>
        <w:t xml:space="preserve">万元，政府性基金 </w:t>
      </w:r>
      <w:r>
        <w:rPr>
          <w:rFonts w:ascii="Times New Roman" w:eastAsia="Times New Roman"/>
        </w:rPr>
        <w:t>0</w:t>
      </w:r>
      <w:r>
        <w:rPr>
          <w:rFonts w:ascii="Times New Roman" w:eastAsia="Times New Roman"/>
          <w:spacing w:val="2"/>
        </w:rPr>
        <w:t xml:space="preserve"> </w:t>
      </w:r>
      <w:r>
        <w:rPr>
          <w:spacing w:val="-7"/>
        </w:rPr>
        <w:t xml:space="preserve">万元，国有资本经营收益 </w:t>
      </w:r>
      <w:r>
        <w:rPr>
          <w:rFonts w:ascii="Times New Roman" w:eastAsia="Times New Roman"/>
        </w:rPr>
        <w:t>0</w:t>
      </w:r>
      <w:r>
        <w:rPr>
          <w:rFonts w:ascii="Times New Roman" w:eastAsia="Times New Roman"/>
          <w:spacing w:val="3"/>
        </w:rPr>
        <w:t xml:space="preserve"> </w:t>
      </w:r>
      <w:r>
        <w:t>万元，</w:t>
      </w:r>
    </w:p>
    <w:p>
      <w:pPr>
        <w:pStyle w:val="4"/>
        <w:spacing w:before="150"/>
        <w:ind w:right="271"/>
        <w:jc w:val="right"/>
      </w:pPr>
      <w:r>
        <w:rPr>
          <w:spacing w:val="-8"/>
        </w:rPr>
        <w:t xml:space="preserve">财政专户管理资金收入 </w:t>
      </w:r>
      <w:r>
        <w:rPr>
          <w:rFonts w:ascii="Times New Roman" w:eastAsia="Times New Roman"/>
        </w:rPr>
        <w:t>0</w:t>
      </w:r>
      <w:r>
        <w:rPr>
          <w:rFonts w:ascii="Times New Roman" w:eastAsia="Times New Roman"/>
          <w:spacing w:val="-3"/>
        </w:rPr>
        <w:t xml:space="preserve"> </w:t>
      </w:r>
      <w:r>
        <w:rPr>
          <w:spacing w:val="-19"/>
        </w:rPr>
        <w:t xml:space="preserve">万元，事业收入 </w:t>
      </w:r>
      <w:r>
        <w:rPr>
          <w:rFonts w:ascii="Times New Roman" w:eastAsia="Times New Roman"/>
        </w:rPr>
        <w:t>0</w:t>
      </w:r>
      <w:r>
        <w:rPr>
          <w:rFonts w:ascii="Times New Roman" w:eastAsia="Times New Roman"/>
          <w:spacing w:val="-2"/>
        </w:rPr>
        <w:t xml:space="preserve"> </w:t>
      </w:r>
      <w:r>
        <w:rPr>
          <w:spacing w:val="-8"/>
        </w:rPr>
        <w:t>万元，事业单位经营</w:t>
      </w:r>
    </w:p>
    <w:p>
      <w:pPr>
        <w:pStyle w:val="4"/>
        <w:spacing w:before="149"/>
        <w:ind w:left="106"/>
      </w:pPr>
      <w:r>
        <w:rPr>
          <w:spacing w:val="-27"/>
        </w:rPr>
        <w:t xml:space="preserve">收入 </w:t>
      </w:r>
      <w:r>
        <w:rPr>
          <w:rFonts w:ascii="Times New Roman" w:eastAsia="Times New Roman"/>
        </w:rPr>
        <w:t xml:space="preserve">0 </w:t>
      </w:r>
      <w:r>
        <w:rPr>
          <w:spacing w:val="-9"/>
        </w:rPr>
        <w:t xml:space="preserve">万元，上级补助收入 </w:t>
      </w:r>
      <w:r>
        <w:rPr>
          <w:rFonts w:ascii="Times New Roman" w:eastAsia="Times New Roman"/>
        </w:rPr>
        <w:t xml:space="preserve">0 </w:t>
      </w:r>
      <w:r>
        <w:rPr>
          <w:spacing w:val="-7"/>
        </w:rPr>
        <w:t xml:space="preserve">万元，附属单位上缴收入 </w:t>
      </w:r>
      <w:r>
        <w:rPr>
          <w:rFonts w:ascii="Times New Roman" w:eastAsia="Times New Roman"/>
        </w:rPr>
        <w:t xml:space="preserve">0 </w:t>
      </w:r>
      <w:r>
        <w:t>万元，</w:t>
      </w:r>
    </w:p>
    <w:p>
      <w:pPr>
        <w:pStyle w:val="4"/>
        <w:spacing w:before="151"/>
        <w:ind w:left="106"/>
      </w:pPr>
      <w:r>
        <w:t xml:space="preserve">其他收入 </w:t>
      </w:r>
      <w:r>
        <w:rPr>
          <w:rFonts w:ascii="Times New Roman" w:eastAsia="Times New Roman"/>
        </w:rPr>
        <w:t xml:space="preserve">0 </w:t>
      </w:r>
      <w:r>
        <w:t>万元。</w:t>
      </w:r>
    </w:p>
    <w:p>
      <w:pPr>
        <w:pStyle w:val="4"/>
        <w:spacing w:before="10"/>
        <w:rPr>
          <w:sz w:val="24"/>
        </w:rPr>
      </w:pPr>
    </w:p>
    <w:p>
      <w:pPr>
        <w:pStyle w:val="4"/>
        <w:spacing w:line="304" w:lineRule="auto"/>
        <w:ind w:left="106" w:right="114" w:firstLine="640"/>
      </w:pPr>
      <w:r>
        <w:rPr>
          <w:spacing w:val="-7"/>
        </w:rPr>
        <w:t xml:space="preserve">与上年对比减少 </w:t>
      </w:r>
      <w:r>
        <w:rPr>
          <w:rFonts w:ascii="Times New Roman" w:eastAsia="Times New Roman"/>
        </w:rPr>
        <w:t>122.74</w:t>
      </w:r>
      <w:r>
        <w:rPr>
          <w:rFonts w:ascii="Times New Roman" w:eastAsia="Times New Roman"/>
          <w:spacing w:val="-1"/>
        </w:rPr>
        <w:t xml:space="preserve"> </w:t>
      </w:r>
      <w:r>
        <w:rPr>
          <w:spacing w:val="4"/>
        </w:rPr>
        <w:t>万元，主要原因是为有效缓解呈贡</w:t>
      </w:r>
      <w:r>
        <w:t>区财政支出压力，根据《昆明市呈贡区人民政府关于印发&lt;呈贡</w:t>
      </w:r>
      <w:r>
        <w:rPr>
          <w:spacing w:val="-4"/>
          <w:w w:val="95"/>
        </w:rPr>
        <w:t>区解决目前财政收支困难工作方案&gt;的通知》</w:t>
      </w:r>
      <w:r>
        <w:rPr>
          <w:w w:val="95"/>
        </w:rPr>
        <w:t>（</w:t>
      </w:r>
      <w:r>
        <w:rPr>
          <w:spacing w:val="-8"/>
          <w:w w:val="95"/>
        </w:rPr>
        <w:t>呈政办发〔</w:t>
      </w:r>
      <w:r>
        <w:rPr>
          <w:rFonts w:ascii="Times New Roman" w:eastAsia="Times New Roman"/>
          <w:w w:val="95"/>
        </w:rPr>
        <w:t>2022</w:t>
      </w:r>
      <w:r>
        <w:rPr>
          <w:w w:val="95"/>
        </w:rPr>
        <w:t xml:space="preserve">〕 </w:t>
      </w:r>
      <w:r>
        <w:rPr>
          <w:rFonts w:ascii="Times New Roman" w:eastAsia="Times New Roman"/>
        </w:rPr>
        <w:t>27</w:t>
      </w:r>
      <w:r>
        <w:rPr>
          <w:rFonts w:ascii="Times New Roman" w:eastAsia="Times New Roman"/>
          <w:spacing w:val="-4"/>
        </w:rPr>
        <w:t xml:space="preserve"> </w:t>
      </w:r>
      <w:r>
        <w:rPr>
          <w:spacing w:val="5"/>
        </w:rPr>
        <w:t>号</w:t>
      </w:r>
      <w:r>
        <w:rPr>
          <w:spacing w:val="7"/>
        </w:rPr>
        <w:t>）</w:t>
      </w:r>
      <w:r>
        <w:rPr>
          <w:spacing w:val="4"/>
        </w:rPr>
        <w:t>要求，对我单位项目经费预算指标进行缩减，导致本年</w:t>
      </w:r>
      <w:r>
        <w:rPr>
          <w:spacing w:val="-8"/>
        </w:rPr>
        <w:t>项目经费减少，具体缩减的项目经费主要有：呈贡区流动人口和</w:t>
      </w:r>
      <w:r>
        <w:rPr>
          <w:spacing w:val="-15"/>
        </w:rPr>
        <w:t>出租房屋服务管理经费、区政府目督办经费、区政府办总值班室经费，学习培训考察经费。</w:t>
      </w:r>
    </w:p>
    <w:p>
      <w:pPr>
        <w:pStyle w:val="4"/>
        <w:spacing w:before="226"/>
        <w:ind w:left="747"/>
      </w:pPr>
      <w:r>
        <w:t>（二）财政拨款收入情况</w:t>
      </w:r>
    </w:p>
    <w:p>
      <w:pPr>
        <w:pStyle w:val="4"/>
        <w:spacing w:before="5"/>
        <w:rPr>
          <w:sz w:val="27"/>
        </w:rPr>
      </w:pPr>
    </w:p>
    <w:p>
      <w:pPr>
        <w:pStyle w:val="4"/>
        <w:ind w:right="273"/>
        <w:jc w:val="right"/>
      </w:pPr>
      <w:r>
        <w:rPr>
          <w:rFonts w:ascii="Times New Roman" w:eastAsia="Times New Roman"/>
        </w:rPr>
        <w:t>2023</w:t>
      </w:r>
      <w:r>
        <w:rPr>
          <w:rFonts w:ascii="Times New Roman" w:eastAsia="Times New Roman"/>
          <w:spacing w:val="14"/>
        </w:rPr>
        <w:t xml:space="preserve"> </w:t>
      </w:r>
      <w:r>
        <w:rPr>
          <w:spacing w:val="9"/>
        </w:rPr>
        <w:t xml:space="preserve">年部门财政拨款收入 </w:t>
      </w:r>
      <w:r>
        <w:rPr>
          <w:rFonts w:ascii="Times New Roman" w:eastAsia="Times New Roman"/>
        </w:rPr>
        <w:t>1248.79</w:t>
      </w:r>
      <w:r>
        <w:rPr>
          <w:rFonts w:ascii="Times New Roman" w:eastAsia="Times New Roman"/>
          <w:spacing w:val="12"/>
        </w:rPr>
        <w:t xml:space="preserve"> </w:t>
      </w:r>
      <w:r>
        <w:rPr>
          <w:spacing w:val="21"/>
        </w:rPr>
        <w:t>万元，其中</w:t>
      </w:r>
      <w:r>
        <w:rPr>
          <w:rFonts w:ascii="Times New Roman" w:eastAsia="Times New Roman"/>
          <w:spacing w:val="21"/>
        </w:rPr>
        <w:t>:</w:t>
      </w:r>
      <w:r>
        <w:rPr>
          <w:spacing w:val="15"/>
        </w:rPr>
        <w:t>本年收入</w:t>
      </w:r>
    </w:p>
    <w:p>
      <w:pPr>
        <w:pStyle w:val="4"/>
        <w:spacing w:before="149"/>
        <w:ind w:right="273"/>
        <w:jc w:val="right"/>
      </w:pPr>
      <w:r>
        <w:rPr>
          <w:rFonts w:ascii="Times New Roman" w:eastAsia="Times New Roman"/>
        </w:rPr>
        <w:t>1248.19</w:t>
      </w:r>
      <w:r>
        <w:rPr>
          <w:rFonts w:ascii="Times New Roman" w:eastAsia="Times New Roman"/>
          <w:spacing w:val="-4"/>
        </w:rPr>
        <w:t xml:space="preserve"> </w:t>
      </w:r>
      <w:r>
        <w:rPr>
          <w:spacing w:val="-12"/>
        </w:rPr>
        <w:t xml:space="preserve">万元，上年结转收入 </w:t>
      </w:r>
      <w:r>
        <w:rPr>
          <w:rFonts w:ascii="Times New Roman" w:eastAsia="Times New Roman"/>
        </w:rPr>
        <w:t>0.60</w:t>
      </w:r>
      <w:r>
        <w:rPr>
          <w:rFonts w:ascii="Times New Roman" w:eastAsia="Times New Roman"/>
          <w:spacing w:val="-3"/>
        </w:rPr>
        <w:t xml:space="preserve"> </w:t>
      </w:r>
      <w:r>
        <w:rPr>
          <w:spacing w:val="-4"/>
        </w:rPr>
        <w:t>万元。本年收入中，一般公共</w:t>
      </w:r>
    </w:p>
    <w:p>
      <w:pPr>
        <w:pStyle w:val="4"/>
        <w:spacing w:before="152"/>
        <w:ind w:right="237"/>
        <w:jc w:val="right"/>
      </w:pPr>
      <w:r>
        <w:rPr>
          <w:spacing w:val="-12"/>
        </w:rPr>
        <w:t xml:space="preserve">预算财政拨款 </w:t>
      </w:r>
      <w:r>
        <w:rPr>
          <w:rFonts w:ascii="Times New Roman" w:eastAsia="Times New Roman"/>
        </w:rPr>
        <w:t>1248.79</w:t>
      </w:r>
      <w:r>
        <w:rPr>
          <w:rFonts w:ascii="Times New Roman" w:eastAsia="Times New Roman"/>
          <w:spacing w:val="-5"/>
        </w:rPr>
        <w:t xml:space="preserve"> </w:t>
      </w:r>
      <w:r>
        <w:rPr>
          <w:spacing w:val="-6"/>
        </w:rPr>
        <w:t xml:space="preserve">万元，政府性基金预算财政拨款 </w:t>
      </w:r>
      <w:r>
        <w:rPr>
          <w:rFonts w:ascii="Times New Roman" w:eastAsia="Times New Roman"/>
        </w:rPr>
        <w:t>0</w:t>
      </w:r>
      <w:r>
        <w:rPr>
          <w:rFonts w:ascii="Times New Roman" w:eastAsia="Times New Roman"/>
          <w:spacing w:val="-3"/>
        </w:rPr>
        <w:t xml:space="preserve"> </w:t>
      </w:r>
      <w:r>
        <w:t>万元，</w:t>
      </w:r>
    </w:p>
    <w:p>
      <w:pPr>
        <w:pStyle w:val="4"/>
        <w:spacing w:before="149"/>
        <w:ind w:left="106"/>
      </w:pPr>
      <w:r>
        <w:t xml:space="preserve">国有资本经营收益财政拨款 </w:t>
      </w:r>
      <w:r>
        <w:rPr>
          <w:rFonts w:ascii="Times New Roman" w:eastAsia="Times New Roman"/>
        </w:rPr>
        <w:t xml:space="preserve">0 </w:t>
      </w:r>
      <w:r>
        <w:t>万元。</w:t>
      </w:r>
    </w:p>
    <w:p>
      <w:pPr>
        <w:pStyle w:val="4"/>
        <w:spacing w:before="10"/>
        <w:rPr>
          <w:sz w:val="24"/>
        </w:rPr>
      </w:pPr>
    </w:p>
    <w:p>
      <w:pPr>
        <w:pStyle w:val="4"/>
        <w:spacing w:line="304" w:lineRule="auto"/>
        <w:ind w:left="106" w:right="114" w:firstLine="640"/>
        <w:jc w:val="both"/>
      </w:pPr>
      <w:r>
        <w:t xml:space="preserve">与上年对比减少 </w:t>
      </w:r>
      <w:r>
        <w:rPr>
          <w:rFonts w:ascii="Times New Roman" w:eastAsia="Times New Roman"/>
        </w:rPr>
        <w:t xml:space="preserve">122.74 </w:t>
      </w:r>
      <w:r>
        <w:t>万元，主要原因是为有效缓解呈贡区财政支出压力，根据《昆明市呈贡区人民政府关于印发&lt;呈贡</w:t>
      </w:r>
      <w:r>
        <w:rPr>
          <w:w w:val="95"/>
        </w:rPr>
        <w:t>区解决目前财政收支困难工作方案&gt;的通知》（呈政办发〔</w:t>
      </w:r>
      <w:r>
        <w:rPr>
          <w:rFonts w:ascii="Times New Roman" w:eastAsia="Times New Roman"/>
          <w:w w:val="95"/>
        </w:rPr>
        <w:t>2022</w:t>
      </w:r>
      <w:r>
        <w:rPr>
          <w:w w:val="95"/>
        </w:rPr>
        <w:t>〕</w:t>
      </w:r>
    </w:p>
    <w:p>
      <w:pPr>
        <w:spacing w:after="0" w:line="304" w:lineRule="auto"/>
        <w:jc w:val="both"/>
        <w:sectPr>
          <w:pgSz w:w="11910" w:h="16840"/>
          <w:pgMar w:top="1580" w:right="1200" w:bottom="1400" w:left="1480" w:header="0" w:footer="1204" w:gutter="0"/>
        </w:sectPr>
      </w:pPr>
    </w:p>
    <w:p>
      <w:pPr>
        <w:pStyle w:val="4"/>
        <w:rPr>
          <w:sz w:val="20"/>
        </w:rPr>
      </w:pPr>
    </w:p>
    <w:p>
      <w:pPr>
        <w:pStyle w:val="4"/>
        <w:spacing w:before="6"/>
        <w:rPr>
          <w:sz w:val="21"/>
        </w:rPr>
      </w:pPr>
    </w:p>
    <w:p>
      <w:pPr>
        <w:pStyle w:val="4"/>
        <w:spacing w:before="64" w:line="304" w:lineRule="auto"/>
        <w:ind w:left="106" w:right="273"/>
        <w:jc w:val="both"/>
      </w:pPr>
      <w:r>
        <w:rPr>
          <w:rFonts w:ascii="Times New Roman" w:eastAsia="Times New Roman"/>
        </w:rPr>
        <w:t>27</w:t>
      </w:r>
      <w:r>
        <w:rPr>
          <w:rFonts w:ascii="Times New Roman" w:eastAsia="Times New Roman"/>
          <w:spacing w:val="-15"/>
        </w:rPr>
        <w:t xml:space="preserve"> </w:t>
      </w:r>
      <w:r>
        <w:rPr>
          <w:spacing w:val="5"/>
        </w:rPr>
        <w:t>号</w:t>
      </w:r>
      <w:r>
        <w:rPr>
          <w:spacing w:val="7"/>
        </w:rPr>
        <w:t>）</w:t>
      </w:r>
      <w:r>
        <w:rPr>
          <w:spacing w:val="4"/>
        </w:rPr>
        <w:t>要求，对我单位项目经费预算指标进行缩减，导致本年</w:t>
      </w:r>
      <w:r>
        <w:rPr>
          <w:spacing w:val="-11"/>
          <w:w w:val="95"/>
        </w:rPr>
        <w:t xml:space="preserve">项目经费减少，具体缩减的项目经费主要有：呈贡区流动人口和 </w:t>
      </w:r>
      <w:r>
        <w:rPr>
          <w:spacing w:val="-16"/>
          <w:w w:val="95"/>
        </w:rPr>
        <w:t xml:space="preserve">出租房屋服务管理经费、区政府目督办经费、区政府办总值班室 </w:t>
      </w:r>
      <w:r>
        <w:rPr>
          <w:spacing w:val="-16"/>
        </w:rPr>
        <w:t>经费，学习培训考察经费。</w:t>
      </w:r>
    </w:p>
    <w:p>
      <w:pPr>
        <w:pStyle w:val="4"/>
        <w:spacing w:before="231"/>
        <w:ind w:left="747"/>
        <w:rPr>
          <w:rFonts w:hint="eastAsia" w:ascii="黑体" w:eastAsia="黑体"/>
        </w:rPr>
      </w:pPr>
      <w:r>
        <w:rPr>
          <w:rFonts w:hint="eastAsia" w:ascii="黑体" w:eastAsia="黑体"/>
          <w:w w:val="95"/>
        </w:rPr>
        <w:t>四、预算单位支出情况</w:t>
      </w:r>
    </w:p>
    <w:p>
      <w:pPr>
        <w:pStyle w:val="4"/>
        <w:rPr>
          <w:sz w:val="25"/>
        </w:rPr>
      </w:pPr>
    </w:p>
    <w:p>
      <w:pPr>
        <w:pStyle w:val="4"/>
        <w:keepNext w:val="0"/>
        <w:keepLines w:val="0"/>
        <w:pageBreakBefore w:val="0"/>
        <w:widowControl w:val="0"/>
        <w:kinsoku/>
        <w:wordWrap/>
        <w:overflowPunct/>
        <w:topLinePunct w:val="0"/>
        <w:autoSpaceDE w:val="0"/>
        <w:autoSpaceDN w:val="0"/>
        <w:bidi w:val="0"/>
        <w:adjustRightInd/>
        <w:snapToGrid/>
        <w:ind w:firstLine="640" w:firstLineChars="200"/>
        <w:jc w:val="both"/>
        <w:textAlignment w:val="auto"/>
      </w:pPr>
      <w:r>
        <w:rPr>
          <w:rFonts w:ascii="Times New Roman" w:eastAsia="Times New Roman"/>
        </w:rPr>
        <w:t xml:space="preserve">2023 </w:t>
      </w:r>
      <w:r>
        <w:t xml:space="preserve">年部门预算总支出 </w:t>
      </w:r>
      <w:r>
        <w:rPr>
          <w:rFonts w:ascii="Times New Roman" w:eastAsia="Times New Roman"/>
        </w:rPr>
        <w:t xml:space="preserve">1248.79 </w:t>
      </w:r>
      <w:r>
        <w:t>万元。财政拨款安排支出</w:t>
      </w:r>
      <w:r>
        <w:rPr>
          <w:rFonts w:ascii="Times New Roman" w:eastAsia="Times New Roman"/>
        </w:rPr>
        <w:t xml:space="preserve">1248.79 </w:t>
      </w:r>
      <w:r>
        <w:rPr>
          <w:spacing w:val="-8"/>
        </w:rPr>
        <w:t xml:space="preserve">万元，其中：基本支出 </w:t>
      </w:r>
      <w:r>
        <w:rPr>
          <w:rFonts w:ascii="Times New Roman" w:eastAsia="Times New Roman"/>
        </w:rPr>
        <w:t xml:space="preserve">1053.19 </w:t>
      </w:r>
      <w:r>
        <w:rPr>
          <w:spacing w:val="-10"/>
        </w:rPr>
        <w:t xml:space="preserve">万元，主要原因是 </w:t>
      </w:r>
      <w:r>
        <w:rPr>
          <w:rFonts w:ascii="Times New Roman" w:eastAsia="Times New Roman"/>
        </w:rPr>
        <w:t xml:space="preserve">2023 </w:t>
      </w:r>
      <w:r>
        <w:rPr>
          <w:spacing w:val="-5"/>
        </w:rPr>
        <w:t>年昆明市呈贡区人民政府办公室在职实有人数较上年减少，以及部分定额标准减少，相应的人员类、运转类公用经费减少。</w:t>
      </w:r>
    </w:p>
    <w:p>
      <w:pPr>
        <w:pStyle w:val="4"/>
        <w:spacing w:before="200" w:line="302" w:lineRule="auto"/>
        <w:ind w:left="106" w:right="271" w:firstLine="640"/>
      </w:pPr>
      <w:r>
        <w:rPr>
          <w:spacing w:val="-17"/>
        </w:rPr>
        <w:t xml:space="preserve">项目支出 </w:t>
      </w:r>
      <w:r>
        <w:rPr>
          <w:rFonts w:ascii="Times New Roman" w:eastAsia="Times New Roman"/>
        </w:rPr>
        <w:t xml:space="preserve">195.60 </w:t>
      </w:r>
      <w:r>
        <w:rPr>
          <w:spacing w:val="-8"/>
        </w:rPr>
        <w:t>万元，与上年对比</w:t>
      </w:r>
      <w:r>
        <w:rPr>
          <w:rFonts w:hint="eastAsia" w:ascii="楷体" w:eastAsia="楷体"/>
          <w:spacing w:val="-28"/>
        </w:rPr>
        <w:t xml:space="preserve">减少 </w:t>
      </w:r>
      <w:r>
        <w:rPr>
          <w:rFonts w:ascii="Times New Roman" w:eastAsia="Times New Roman"/>
        </w:rPr>
        <w:t xml:space="preserve">77.56 </w:t>
      </w:r>
      <w:r>
        <w:rPr>
          <w:rFonts w:hint="eastAsia" w:ascii="楷体" w:eastAsia="楷体"/>
          <w:spacing w:val="-19"/>
        </w:rPr>
        <w:t>万元，</w:t>
      </w:r>
      <w:r>
        <w:t>主要原因是：</w:t>
      </w:r>
      <w:bookmarkStart w:id="0" w:name="_GoBack"/>
      <w:bookmarkEnd w:id="0"/>
    </w:p>
    <w:p>
      <w:pPr>
        <w:pStyle w:val="8"/>
        <w:numPr>
          <w:ilvl w:val="0"/>
          <w:numId w:val="3"/>
        </w:numPr>
        <w:tabs>
          <w:tab w:val="left" w:pos="1548"/>
        </w:tabs>
        <w:spacing w:before="238" w:after="0" w:line="326" w:lineRule="auto"/>
        <w:ind w:left="106" w:right="273" w:firstLine="640"/>
        <w:jc w:val="left"/>
        <w:rPr>
          <w:sz w:val="32"/>
        </w:rPr>
      </w:pPr>
      <w:r>
        <w:rPr>
          <w:spacing w:val="-4"/>
          <w:sz w:val="32"/>
        </w:rPr>
        <w:t xml:space="preserve">呈贡区流动人口和出租房屋服务管理经费调减 </w:t>
      </w:r>
      <w:r>
        <w:rPr>
          <w:rFonts w:ascii="Times New Roman" w:eastAsia="Times New Roman"/>
          <w:sz w:val="32"/>
        </w:rPr>
        <w:t>30</w:t>
      </w:r>
      <w:r>
        <w:rPr>
          <w:rFonts w:ascii="Times New Roman" w:eastAsia="Times New Roman"/>
          <w:spacing w:val="-1"/>
          <w:sz w:val="32"/>
        </w:rPr>
        <w:t xml:space="preserve"> </w:t>
      </w:r>
      <w:r>
        <w:rPr>
          <w:sz w:val="32"/>
        </w:rPr>
        <w:t>万</w:t>
      </w:r>
      <w:r>
        <w:rPr>
          <w:spacing w:val="-11"/>
          <w:w w:val="95"/>
          <w:sz w:val="32"/>
        </w:rPr>
        <w:t xml:space="preserve">元，主要原因是按照国库集中支付制度要求，我单位不再预算拨 </w:t>
      </w:r>
      <w:r>
        <w:rPr>
          <w:spacing w:val="-11"/>
          <w:sz w:val="32"/>
        </w:rPr>
        <w:t>付至各街道的流动人口管理工作经费。</w:t>
      </w:r>
    </w:p>
    <w:p>
      <w:pPr>
        <w:pStyle w:val="8"/>
        <w:numPr>
          <w:ilvl w:val="0"/>
          <w:numId w:val="3"/>
        </w:numPr>
        <w:tabs>
          <w:tab w:val="left" w:pos="1548"/>
        </w:tabs>
        <w:spacing w:before="8" w:after="0" w:line="326" w:lineRule="auto"/>
        <w:ind w:left="106" w:right="273" w:firstLine="640"/>
        <w:jc w:val="both"/>
        <w:rPr>
          <w:sz w:val="32"/>
        </w:rPr>
      </w:pPr>
      <w:r>
        <w:rPr>
          <w:spacing w:val="-8"/>
          <w:sz w:val="32"/>
        </w:rPr>
        <w:t xml:space="preserve">区政府目督办经费调减 </w:t>
      </w:r>
      <w:r>
        <w:rPr>
          <w:rFonts w:ascii="Times New Roman" w:eastAsia="Times New Roman"/>
          <w:sz w:val="32"/>
        </w:rPr>
        <w:t>30</w:t>
      </w:r>
      <w:r>
        <w:rPr>
          <w:rFonts w:ascii="Calibri" w:eastAsia="Calibri"/>
          <w:sz w:val="32"/>
        </w:rPr>
        <w:t>.</w:t>
      </w:r>
      <w:r>
        <w:rPr>
          <w:rFonts w:ascii="Times New Roman" w:eastAsia="Times New Roman"/>
          <w:sz w:val="32"/>
        </w:rPr>
        <w:t>5</w:t>
      </w:r>
      <w:r>
        <w:rPr>
          <w:rFonts w:ascii="Times New Roman" w:eastAsia="Times New Roman"/>
          <w:spacing w:val="-2"/>
          <w:sz w:val="32"/>
        </w:rPr>
        <w:t xml:space="preserve"> </w:t>
      </w:r>
      <w:r>
        <w:rPr>
          <w:spacing w:val="-4"/>
          <w:sz w:val="32"/>
        </w:rPr>
        <w:t>万元，主要原因是上年</w:t>
      </w:r>
      <w:r>
        <w:rPr>
          <w:spacing w:val="-10"/>
          <w:sz w:val="32"/>
        </w:rPr>
        <w:t>预算用于组织开展建议提案办理工作专题培训，本年由于实际工作安排，未安排此项预算。</w:t>
      </w:r>
    </w:p>
    <w:p>
      <w:pPr>
        <w:pStyle w:val="4"/>
        <w:spacing w:before="7"/>
        <w:ind w:left="747"/>
      </w:pPr>
      <w:r>
        <w:t>（一）财政拨款安排支出按功能科目分类情况，主要用于：</w:t>
      </w:r>
    </w:p>
    <w:p>
      <w:pPr>
        <w:pStyle w:val="4"/>
        <w:spacing w:before="2"/>
        <w:rPr>
          <w:sz w:val="27"/>
        </w:rPr>
      </w:pPr>
    </w:p>
    <w:p>
      <w:pPr>
        <w:pStyle w:val="4"/>
        <w:ind w:right="271"/>
        <w:jc w:val="right"/>
      </w:pPr>
      <w:r>
        <w:rPr>
          <w:rFonts w:ascii="Times New Roman" w:eastAsia="Times New Roman"/>
        </w:rPr>
        <w:t>2010301</w:t>
      </w:r>
      <w:r>
        <w:rPr>
          <w:rFonts w:ascii="Times New Roman" w:eastAsia="Times New Roman"/>
          <w:spacing w:val="-16"/>
        </w:rPr>
        <w:t xml:space="preserve"> </w:t>
      </w:r>
      <w:r>
        <w:rPr>
          <w:spacing w:val="-1"/>
        </w:rPr>
        <w:t>一般公共服务支出</w:t>
      </w:r>
      <w:r>
        <w:t>（类</w:t>
      </w:r>
      <w:r>
        <w:rPr>
          <w:spacing w:val="-7"/>
        </w:rPr>
        <w:t>）</w:t>
      </w:r>
      <w:r>
        <w:rPr>
          <w:spacing w:val="-2"/>
        </w:rPr>
        <w:t>政府办公厅</w:t>
      </w:r>
      <w:r>
        <w:t>（室</w:t>
      </w:r>
      <w:r>
        <w:rPr>
          <w:spacing w:val="-7"/>
        </w:rPr>
        <w:t>）</w:t>
      </w:r>
      <w:r>
        <w:t>及相关</w:t>
      </w:r>
    </w:p>
    <w:p>
      <w:pPr>
        <w:pStyle w:val="4"/>
        <w:spacing w:before="152"/>
        <w:ind w:right="273"/>
        <w:jc w:val="right"/>
      </w:pPr>
      <w:r>
        <w:rPr>
          <w:spacing w:val="5"/>
        </w:rPr>
        <w:t>机构事务</w:t>
      </w:r>
      <w:r>
        <w:rPr>
          <w:spacing w:val="7"/>
        </w:rPr>
        <w:t>（</w:t>
      </w:r>
      <w:r>
        <w:rPr>
          <w:spacing w:val="5"/>
        </w:rPr>
        <w:t>款</w:t>
      </w:r>
      <w:r>
        <w:rPr>
          <w:spacing w:val="7"/>
        </w:rPr>
        <w:t>）</w:t>
      </w:r>
      <w:r>
        <w:rPr>
          <w:spacing w:val="5"/>
        </w:rPr>
        <w:t>行政运行</w:t>
      </w:r>
      <w:r>
        <w:rPr>
          <w:spacing w:val="7"/>
        </w:rPr>
        <w:t>（</w:t>
      </w:r>
      <w:r>
        <w:rPr>
          <w:spacing w:val="5"/>
        </w:rPr>
        <w:t>项</w:t>
      </w:r>
      <w:r>
        <w:rPr>
          <w:spacing w:val="7"/>
        </w:rPr>
        <w:t>）</w:t>
      </w:r>
      <w:r>
        <w:rPr>
          <w:spacing w:val="-16"/>
        </w:rPr>
        <w:t xml:space="preserve">预算支出 </w:t>
      </w:r>
      <w:r>
        <w:rPr>
          <w:rFonts w:ascii="Times New Roman" w:eastAsia="Times New Roman"/>
        </w:rPr>
        <w:t>760.39</w:t>
      </w:r>
      <w:r>
        <w:rPr>
          <w:rFonts w:ascii="Times New Roman" w:eastAsia="Times New Roman"/>
          <w:spacing w:val="-8"/>
        </w:rPr>
        <w:t xml:space="preserve"> </w:t>
      </w:r>
      <w:r>
        <w:rPr>
          <w:spacing w:val="4"/>
        </w:rPr>
        <w:t>万元，主要用</w:t>
      </w:r>
    </w:p>
    <w:p>
      <w:pPr>
        <w:spacing w:after="0"/>
        <w:jc w:val="right"/>
        <w:sectPr>
          <w:pgSz w:w="11910" w:h="16840"/>
          <w:pgMar w:top="1580" w:right="1200" w:bottom="1400" w:left="1480" w:header="0" w:footer="1204" w:gutter="0"/>
        </w:sectPr>
      </w:pPr>
    </w:p>
    <w:p>
      <w:pPr>
        <w:pStyle w:val="4"/>
        <w:rPr>
          <w:sz w:val="20"/>
        </w:rPr>
      </w:pPr>
    </w:p>
    <w:p>
      <w:pPr>
        <w:pStyle w:val="4"/>
        <w:spacing w:before="11"/>
        <w:rPr>
          <w:sz w:val="24"/>
        </w:rPr>
      </w:pPr>
    </w:p>
    <w:p>
      <w:pPr>
        <w:pStyle w:val="4"/>
        <w:spacing w:before="54" w:line="326" w:lineRule="auto"/>
        <w:ind w:left="106" w:right="273"/>
      </w:pPr>
      <w:r>
        <w:rPr>
          <w:spacing w:val="-12"/>
          <w:w w:val="95"/>
        </w:rPr>
        <w:t xml:space="preserve">于办公经费、印刷费、水电费、汽燃费、办公设备购置等日常开 </w:t>
      </w:r>
      <w:r>
        <w:rPr>
          <w:spacing w:val="-12"/>
        </w:rPr>
        <w:t>支，以保证机构正常运转；</w:t>
      </w:r>
    </w:p>
    <w:p>
      <w:pPr>
        <w:pStyle w:val="4"/>
        <w:spacing w:before="205" w:line="326" w:lineRule="auto"/>
        <w:ind w:left="106" w:right="114" w:firstLine="640"/>
      </w:pPr>
      <w:r>
        <w:rPr>
          <w:rFonts w:ascii="Times New Roman" w:eastAsia="Times New Roman"/>
        </w:rPr>
        <w:t xml:space="preserve">2010399 </w:t>
      </w:r>
      <w:r>
        <w:rPr>
          <w:spacing w:val="-1"/>
        </w:rPr>
        <w:t>一般公共服务支出</w:t>
      </w:r>
      <w:r>
        <w:t>（类</w:t>
      </w:r>
      <w:r>
        <w:rPr>
          <w:spacing w:val="-7"/>
        </w:rPr>
        <w:t>）</w:t>
      </w:r>
      <w:r>
        <w:rPr>
          <w:spacing w:val="-2"/>
        </w:rPr>
        <w:t>政府办公厅</w:t>
      </w:r>
      <w:r>
        <w:t>（室</w:t>
      </w:r>
      <w:r>
        <w:rPr>
          <w:spacing w:val="-7"/>
        </w:rPr>
        <w:t>）</w:t>
      </w:r>
      <w:r>
        <w:t>及相关</w:t>
      </w:r>
      <w:r>
        <w:rPr>
          <w:spacing w:val="-14"/>
        </w:rPr>
        <w:t>机构事务</w:t>
      </w:r>
      <w:r>
        <w:t>（款</w:t>
      </w:r>
      <w:r>
        <w:rPr>
          <w:spacing w:val="-53"/>
        </w:rPr>
        <w:t>）</w:t>
      </w:r>
      <w:r>
        <w:rPr>
          <w:spacing w:val="-8"/>
        </w:rPr>
        <w:t>其他政府办公厅</w:t>
      </w:r>
      <w:r>
        <w:t>（室</w:t>
      </w:r>
      <w:r>
        <w:rPr>
          <w:spacing w:val="-55"/>
        </w:rPr>
        <w:t>）</w:t>
      </w:r>
      <w:r>
        <w:rPr>
          <w:spacing w:val="-7"/>
        </w:rPr>
        <w:t>及相关机构事务支出</w:t>
      </w:r>
      <w:r>
        <w:t>（项</w:t>
      </w:r>
      <w:r>
        <w:rPr>
          <w:spacing w:val="-11"/>
        </w:rPr>
        <w:t xml:space="preserve">） </w:t>
      </w:r>
      <w:r>
        <w:rPr>
          <w:spacing w:val="-16"/>
        </w:rPr>
        <w:t xml:space="preserve">预算支出 </w:t>
      </w:r>
      <w:r>
        <w:rPr>
          <w:rFonts w:ascii="Times New Roman" w:eastAsia="Times New Roman"/>
        </w:rPr>
        <w:t xml:space="preserve">195.60 </w:t>
      </w:r>
      <w:r>
        <w:t>万元，主要用于区政府办相关业务支出；</w:t>
      </w:r>
    </w:p>
    <w:p>
      <w:pPr>
        <w:pStyle w:val="4"/>
        <w:spacing w:before="207"/>
        <w:ind w:left="747"/>
      </w:pPr>
      <w:r>
        <w:rPr>
          <w:rFonts w:ascii="Times New Roman" w:eastAsia="Times New Roman"/>
        </w:rPr>
        <w:t xml:space="preserve">2050803 </w:t>
      </w:r>
      <w:r>
        <w:t>教育支出（类）进修及培训（款）培训支出（项）</w:t>
      </w:r>
    </w:p>
    <w:p>
      <w:pPr>
        <w:pStyle w:val="4"/>
        <w:spacing w:before="149" w:line="328" w:lineRule="auto"/>
        <w:ind w:left="106" w:right="321"/>
      </w:pPr>
      <w:r>
        <w:t xml:space="preserve">预算支出 </w:t>
      </w:r>
      <w:r>
        <w:rPr>
          <w:rFonts w:ascii="Times New Roman" w:eastAsia="Times New Roman"/>
        </w:rPr>
        <w:t xml:space="preserve">1.11 </w:t>
      </w:r>
      <w:r>
        <w:t>万元，主要用于区政府办组织开展各类型培训支出；</w:t>
      </w:r>
    </w:p>
    <w:p>
      <w:pPr>
        <w:pStyle w:val="4"/>
        <w:spacing w:before="196"/>
        <w:ind w:left="747"/>
      </w:pPr>
      <w:r>
        <w:rPr>
          <w:rFonts w:ascii="Times New Roman" w:eastAsia="Times New Roman"/>
        </w:rPr>
        <w:t xml:space="preserve">2080501 </w:t>
      </w:r>
      <w:r>
        <w:t>社会保障和就业支出（类）行政事业单位养老支出</w:t>
      </w:r>
    </w:p>
    <w:p>
      <w:pPr>
        <w:pStyle w:val="4"/>
        <w:spacing w:before="152" w:line="326" w:lineRule="auto"/>
        <w:ind w:left="106" w:right="273"/>
      </w:pPr>
      <w:r>
        <w:t>（款</w:t>
      </w:r>
      <w:r>
        <w:rPr>
          <w:spacing w:val="-10"/>
        </w:rPr>
        <w:t>）</w:t>
      </w:r>
      <w:r>
        <w:rPr>
          <w:spacing w:val="-1"/>
        </w:rPr>
        <w:t>行政事业单位离退休</w:t>
      </w:r>
      <w:r>
        <w:t>（项</w:t>
      </w:r>
      <w:r>
        <w:rPr>
          <w:spacing w:val="-7"/>
        </w:rPr>
        <w:t>）</w:t>
      </w:r>
      <w:r>
        <w:rPr>
          <w:spacing w:val="-18"/>
        </w:rPr>
        <w:t xml:space="preserve">预算支出 </w:t>
      </w:r>
      <w:r>
        <w:rPr>
          <w:rFonts w:ascii="Times New Roman" w:eastAsia="Times New Roman"/>
        </w:rPr>
        <w:t xml:space="preserve">52.98 </w:t>
      </w:r>
      <w:r>
        <w:rPr>
          <w:spacing w:val="-3"/>
        </w:rPr>
        <w:t>万元，主要用于区政府办离退休人员生活补助；</w:t>
      </w:r>
    </w:p>
    <w:p>
      <w:pPr>
        <w:pStyle w:val="4"/>
        <w:spacing w:before="205"/>
        <w:ind w:right="273"/>
        <w:jc w:val="right"/>
      </w:pPr>
      <w:r>
        <w:rPr>
          <w:rFonts w:ascii="Times New Roman" w:eastAsia="Times New Roman"/>
        </w:rPr>
        <w:t>2080505</w:t>
      </w:r>
      <w:r>
        <w:rPr>
          <w:rFonts w:ascii="Times New Roman" w:eastAsia="Times New Roman"/>
          <w:spacing w:val="-14"/>
        </w:rPr>
        <w:t xml:space="preserve"> </w:t>
      </w:r>
      <w:r>
        <w:rPr>
          <w:spacing w:val="-2"/>
        </w:rPr>
        <w:t>社会保障和就业支出</w:t>
      </w:r>
      <w:r>
        <w:t>（类</w:t>
      </w:r>
      <w:r>
        <w:rPr>
          <w:spacing w:val="-17"/>
        </w:rPr>
        <w:t>）</w:t>
      </w:r>
      <w:r>
        <w:t>行政事业单位养老支出</w:t>
      </w:r>
    </w:p>
    <w:p>
      <w:pPr>
        <w:pStyle w:val="4"/>
        <w:spacing w:before="149"/>
        <w:ind w:right="272"/>
        <w:jc w:val="right"/>
        <w:rPr>
          <w:rFonts w:ascii="Times New Roman" w:eastAsia="Times New Roman"/>
        </w:rPr>
      </w:pPr>
      <w:r>
        <w:t>（款</w:t>
      </w:r>
      <w:r>
        <w:rPr>
          <w:spacing w:val="-91"/>
        </w:rPr>
        <w:t>）</w:t>
      </w:r>
      <w:r>
        <w:rPr>
          <w:spacing w:val="-6"/>
        </w:rPr>
        <w:t>机关事业单位基本养老保险缴费支出</w:t>
      </w:r>
      <w:r>
        <w:t>（项</w:t>
      </w:r>
      <w:r>
        <w:rPr>
          <w:spacing w:val="-91"/>
        </w:rPr>
        <w:t>）</w:t>
      </w:r>
      <w:r>
        <w:rPr>
          <w:spacing w:val="-19"/>
        </w:rPr>
        <w:t xml:space="preserve">预算支出 </w:t>
      </w:r>
      <w:r>
        <w:rPr>
          <w:rFonts w:ascii="Times New Roman" w:eastAsia="Times New Roman"/>
        </w:rPr>
        <w:t>80.29</w:t>
      </w:r>
    </w:p>
    <w:p>
      <w:pPr>
        <w:pStyle w:val="4"/>
        <w:spacing w:before="149"/>
        <w:ind w:left="106"/>
      </w:pPr>
      <w:r>
        <w:t>万元，主要用于职工养老保险缴费支出；</w:t>
      </w:r>
    </w:p>
    <w:p>
      <w:pPr>
        <w:pStyle w:val="4"/>
        <w:spacing w:before="5"/>
        <w:rPr>
          <w:sz w:val="27"/>
        </w:rPr>
      </w:pPr>
    </w:p>
    <w:p>
      <w:pPr>
        <w:pStyle w:val="4"/>
        <w:ind w:left="747"/>
      </w:pPr>
      <w:r>
        <w:rPr>
          <w:rFonts w:ascii="Times New Roman" w:eastAsia="Times New Roman"/>
        </w:rPr>
        <w:t xml:space="preserve">2080801 </w:t>
      </w:r>
      <w:r>
        <w:rPr>
          <w:spacing w:val="-12"/>
        </w:rPr>
        <w:t>社会保障和就业支出</w:t>
      </w:r>
      <w:r>
        <w:t>（类</w:t>
      </w:r>
      <w:r>
        <w:rPr>
          <w:spacing w:val="-103"/>
        </w:rPr>
        <w:t>）</w:t>
      </w:r>
      <w:r>
        <w:rPr>
          <w:spacing w:val="-51"/>
        </w:rPr>
        <w:t>抚恤</w:t>
      </w:r>
      <w:r>
        <w:t>（款</w:t>
      </w:r>
      <w:r>
        <w:rPr>
          <w:spacing w:val="-103"/>
        </w:rPr>
        <w:t>）</w:t>
      </w:r>
      <w:r>
        <w:rPr>
          <w:spacing w:val="-25"/>
        </w:rPr>
        <w:t>死亡抚恤</w:t>
      </w:r>
      <w:r>
        <w:t>（项）</w:t>
      </w:r>
    </w:p>
    <w:p>
      <w:pPr>
        <w:pStyle w:val="4"/>
        <w:spacing w:before="149"/>
        <w:ind w:left="106"/>
      </w:pPr>
      <w:r>
        <w:t xml:space="preserve">预算支出 </w:t>
      </w:r>
      <w:r>
        <w:rPr>
          <w:rFonts w:ascii="Times New Roman" w:eastAsia="Times New Roman"/>
        </w:rPr>
        <w:t xml:space="preserve">5.46 </w:t>
      </w:r>
      <w:r>
        <w:t xml:space="preserve">万元，主要用于 </w:t>
      </w:r>
      <w:r>
        <w:rPr>
          <w:rFonts w:ascii="Times New Roman" w:eastAsia="Times New Roman"/>
        </w:rPr>
        <w:t xml:space="preserve">2023 </w:t>
      </w:r>
      <w:r>
        <w:t>年职工死亡抚恤；</w:t>
      </w:r>
    </w:p>
    <w:p>
      <w:pPr>
        <w:pStyle w:val="4"/>
        <w:spacing w:before="5"/>
        <w:rPr>
          <w:sz w:val="27"/>
        </w:rPr>
      </w:pPr>
    </w:p>
    <w:p>
      <w:pPr>
        <w:pStyle w:val="4"/>
        <w:ind w:left="747"/>
      </w:pPr>
      <w:r>
        <w:rPr>
          <w:rFonts w:ascii="Times New Roman" w:eastAsia="Times New Roman"/>
        </w:rPr>
        <w:t xml:space="preserve">2101101 </w:t>
      </w:r>
      <w:r>
        <w:t>行政事业单位医疗支出（类）行政单位医疗（款）</w:t>
      </w:r>
    </w:p>
    <w:p>
      <w:pPr>
        <w:pStyle w:val="4"/>
        <w:spacing w:before="149" w:line="328" w:lineRule="auto"/>
        <w:ind w:left="106" w:right="273"/>
      </w:pPr>
      <w:r>
        <w:rPr>
          <w:spacing w:val="-2"/>
        </w:rPr>
        <w:t>医疗保险缴费</w:t>
      </w:r>
      <w:r>
        <w:t>（项</w:t>
      </w:r>
      <w:r>
        <w:rPr>
          <w:spacing w:val="-12"/>
        </w:rPr>
        <w:t>）</w:t>
      </w:r>
      <w:r>
        <w:rPr>
          <w:spacing w:val="-18"/>
        </w:rPr>
        <w:t xml:space="preserve">预算支出 </w:t>
      </w:r>
      <w:r>
        <w:rPr>
          <w:rFonts w:ascii="Times New Roman" w:eastAsia="Times New Roman"/>
        </w:rPr>
        <w:t xml:space="preserve">44.69 </w:t>
      </w:r>
      <w:r>
        <w:rPr>
          <w:spacing w:val="-3"/>
        </w:rPr>
        <w:t>万元，主要用于职工医疗保险缴费支出；</w:t>
      </w:r>
    </w:p>
    <w:p>
      <w:pPr>
        <w:spacing w:after="0" w:line="328" w:lineRule="auto"/>
        <w:sectPr>
          <w:footerReference r:id="rId4" w:type="default"/>
          <w:pgSz w:w="11910" w:h="16840"/>
          <w:pgMar w:top="1580" w:right="1200" w:bottom="1400" w:left="1480" w:header="0" w:footer="1204" w:gutter="0"/>
          <w:pgNumType w:start="10"/>
        </w:sectPr>
      </w:pPr>
    </w:p>
    <w:p>
      <w:pPr>
        <w:pStyle w:val="4"/>
        <w:rPr>
          <w:sz w:val="20"/>
        </w:rPr>
      </w:pPr>
    </w:p>
    <w:p>
      <w:pPr>
        <w:pStyle w:val="4"/>
        <w:spacing w:before="1"/>
        <w:rPr>
          <w:sz w:val="24"/>
        </w:rPr>
      </w:pPr>
    </w:p>
    <w:p>
      <w:pPr>
        <w:pStyle w:val="4"/>
        <w:spacing w:before="64"/>
        <w:ind w:left="747"/>
      </w:pPr>
      <w:r>
        <w:rPr>
          <w:rFonts w:ascii="Times New Roman" w:eastAsia="Times New Roman"/>
        </w:rPr>
        <w:t xml:space="preserve">2101103 </w:t>
      </w:r>
      <w:r>
        <w:t>行政事业单位医疗支出（类）行政单位医疗（款）</w:t>
      </w:r>
    </w:p>
    <w:p>
      <w:pPr>
        <w:pStyle w:val="4"/>
        <w:spacing w:before="150" w:line="326" w:lineRule="auto"/>
        <w:ind w:left="106" w:right="273"/>
      </w:pPr>
      <w:r>
        <w:rPr>
          <w:spacing w:val="-2"/>
        </w:rPr>
        <w:t>公务员医疗补助</w:t>
      </w:r>
      <w:r>
        <w:t>（项</w:t>
      </w:r>
      <w:r>
        <w:rPr>
          <w:spacing w:val="-10"/>
        </w:rPr>
        <w:t>）</w:t>
      </w:r>
      <w:r>
        <w:rPr>
          <w:spacing w:val="-18"/>
        </w:rPr>
        <w:t xml:space="preserve">预算支出 </w:t>
      </w:r>
      <w:r>
        <w:rPr>
          <w:rFonts w:ascii="Times New Roman" w:eastAsia="Times New Roman"/>
        </w:rPr>
        <w:t xml:space="preserve">37.52 </w:t>
      </w:r>
      <w:r>
        <w:rPr>
          <w:spacing w:val="-3"/>
        </w:rPr>
        <w:t>万元，主要用于职工公务员医疗补助缴费支出；</w:t>
      </w:r>
    </w:p>
    <w:p>
      <w:pPr>
        <w:pStyle w:val="4"/>
        <w:spacing w:before="204"/>
        <w:ind w:left="747"/>
      </w:pPr>
      <w:r>
        <w:rPr>
          <w:rFonts w:ascii="Times New Roman" w:eastAsia="Times New Roman"/>
        </w:rPr>
        <w:t xml:space="preserve">2101199 </w:t>
      </w:r>
      <w:r>
        <w:t>行政事业单位医疗支出（类）行政单位医疗（款）</w:t>
      </w:r>
    </w:p>
    <w:p>
      <w:pPr>
        <w:pStyle w:val="4"/>
        <w:spacing w:before="150" w:line="328" w:lineRule="auto"/>
        <w:ind w:left="106" w:right="321"/>
      </w:pPr>
      <w:r>
        <w:t xml:space="preserve">其他行政事业单位医疗支出（项）预算支出 </w:t>
      </w:r>
      <w:r>
        <w:rPr>
          <w:rFonts w:ascii="Times New Roman" w:eastAsia="Times New Roman"/>
        </w:rPr>
        <w:t xml:space="preserve">3.57 </w:t>
      </w:r>
      <w:r>
        <w:t>万元，主要用于职工工伤保险和重特病医疗统筹缴费支出；</w:t>
      </w:r>
    </w:p>
    <w:p>
      <w:pPr>
        <w:pStyle w:val="4"/>
        <w:spacing w:before="196"/>
        <w:ind w:left="747"/>
      </w:pPr>
      <w:r>
        <w:rPr>
          <w:rFonts w:ascii="Times New Roman" w:eastAsia="Times New Roman"/>
        </w:rPr>
        <w:t xml:space="preserve">2210201 </w:t>
      </w:r>
      <w:r>
        <w:t>住房保障支出（类）住房改革支出（款）住房公积</w:t>
      </w:r>
    </w:p>
    <w:p>
      <w:pPr>
        <w:pStyle w:val="4"/>
        <w:spacing w:before="152" w:line="326" w:lineRule="auto"/>
        <w:ind w:left="106" w:right="273"/>
      </w:pPr>
      <w:r>
        <w:rPr>
          <w:spacing w:val="-10"/>
        </w:rPr>
        <w:t>金</w:t>
      </w:r>
      <w:r>
        <w:t>（项</w:t>
      </w:r>
      <w:r>
        <w:rPr>
          <w:spacing w:val="-10"/>
        </w:rPr>
        <w:t>）</w:t>
      </w:r>
      <w:r>
        <w:rPr>
          <w:spacing w:val="-18"/>
        </w:rPr>
        <w:t xml:space="preserve">预算支出 </w:t>
      </w:r>
      <w:r>
        <w:rPr>
          <w:rFonts w:ascii="Times New Roman" w:eastAsia="Times New Roman"/>
        </w:rPr>
        <w:t xml:space="preserve">64.90 </w:t>
      </w:r>
      <w:r>
        <w:rPr>
          <w:spacing w:val="-3"/>
        </w:rPr>
        <w:t>万元，主要用于区政府办职工住房公积金支出；</w:t>
      </w:r>
    </w:p>
    <w:p>
      <w:pPr>
        <w:pStyle w:val="4"/>
        <w:spacing w:before="205"/>
        <w:ind w:left="747"/>
      </w:pPr>
      <w:r>
        <w:rPr>
          <w:rFonts w:ascii="Times New Roman" w:eastAsia="Times New Roman"/>
        </w:rPr>
        <w:t xml:space="preserve">2210203 </w:t>
      </w:r>
      <w:r>
        <w:t>住房保障支出（类）住房改革支出（款）购房补贴</w:t>
      </w:r>
    </w:p>
    <w:p>
      <w:pPr>
        <w:pStyle w:val="4"/>
        <w:spacing w:before="149" w:line="326" w:lineRule="auto"/>
        <w:ind w:left="106" w:right="321"/>
      </w:pPr>
      <w:r>
        <w:t xml:space="preserve">（项）预算支出 </w:t>
      </w:r>
      <w:r>
        <w:rPr>
          <w:rFonts w:ascii="Times New Roman" w:eastAsia="Times New Roman"/>
        </w:rPr>
        <w:t xml:space="preserve">2.28 </w:t>
      </w:r>
      <w:r>
        <w:t>万元，主要用于区政府办职工购房补贴支出。</w:t>
      </w:r>
    </w:p>
    <w:p>
      <w:pPr>
        <w:pStyle w:val="4"/>
        <w:spacing w:before="205"/>
        <w:ind w:left="737"/>
        <w:rPr>
          <w:rFonts w:hint="eastAsia" w:ascii="黑体" w:eastAsia="黑体"/>
        </w:rPr>
      </w:pPr>
      <w:r>
        <w:rPr>
          <w:rFonts w:hint="eastAsia" w:ascii="黑体" w:eastAsia="黑体"/>
        </w:rPr>
        <w:t>五、对下专项转移支付情况</w:t>
      </w:r>
    </w:p>
    <w:p>
      <w:pPr>
        <w:pStyle w:val="4"/>
        <w:spacing w:before="4"/>
        <w:rPr>
          <w:rFonts w:ascii="黑体"/>
          <w:sz w:val="27"/>
        </w:rPr>
      </w:pPr>
    </w:p>
    <w:p>
      <w:pPr>
        <w:pStyle w:val="4"/>
        <w:spacing w:line="326" w:lineRule="auto"/>
        <w:ind w:left="106" w:right="114" w:firstLine="640"/>
      </w:pPr>
      <w:r>
        <w:rPr>
          <w:spacing w:val="-16"/>
        </w:rPr>
        <w:t>我区已实行乡财县管，按照区与乡镇</w:t>
      </w:r>
      <w:r>
        <w:t>（街道</w:t>
      </w:r>
      <w:r>
        <w:rPr>
          <w:spacing w:val="-91"/>
        </w:rPr>
        <w:t>）</w:t>
      </w:r>
      <w:r>
        <w:rPr>
          <w:spacing w:val="-2"/>
        </w:rPr>
        <w:t xml:space="preserve">财政管理体制， </w:t>
      </w:r>
      <w:r>
        <w:t>乡镇（街道）按照县级部门预算管理，故无对下转移支付。</w:t>
      </w:r>
    </w:p>
    <w:p>
      <w:pPr>
        <w:pStyle w:val="4"/>
        <w:spacing w:before="205"/>
        <w:ind w:left="747"/>
        <w:rPr>
          <w:rFonts w:hint="eastAsia" w:ascii="黑体" w:eastAsia="黑体"/>
        </w:rPr>
      </w:pPr>
      <w:r>
        <w:rPr>
          <w:rFonts w:hint="eastAsia" w:ascii="黑体" w:eastAsia="黑体"/>
        </w:rPr>
        <w:t>六、政府采购预算情况</w:t>
      </w:r>
    </w:p>
    <w:p>
      <w:pPr>
        <w:pStyle w:val="4"/>
        <w:spacing w:before="2"/>
        <w:rPr>
          <w:rFonts w:ascii="黑体"/>
          <w:sz w:val="27"/>
        </w:rPr>
      </w:pPr>
    </w:p>
    <w:p>
      <w:pPr>
        <w:pStyle w:val="4"/>
        <w:spacing w:before="1" w:line="328" w:lineRule="auto"/>
        <w:ind w:left="106" w:right="273" w:firstLine="640"/>
      </w:pPr>
      <w:r>
        <w:rPr>
          <w:spacing w:val="-11"/>
          <w:w w:val="95"/>
        </w:rPr>
        <w:t xml:space="preserve">根据《中华人民共和国政府采购法》的有关规定，编制了政 </w:t>
      </w:r>
      <w:r>
        <w:rPr>
          <w:spacing w:val="-15"/>
        </w:rPr>
        <w:t xml:space="preserve">府采购预算，共涉及采购项目 </w:t>
      </w:r>
      <w:r>
        <w:rPr>
          <w:rFonts w:ascii="Times New Roman" w:eastAsia="Times New Roman"/>
        </w:rPr>
        <w:t xml:space="preserve">1 </w:t>
      </w:r>
      <w:r>
        <w:rPr>
          <w:spacing w:val="-11"/>
        </w:rPr>
        <w:t xml:space="preserve">个，政府采购预算总额 </w:t>
      </w:r>
      <w:r>
        <w:rPr>
          <w:rFonts w:ascii="Times New Roman" w:eastAsia="Times New Roman"/>
        </w:rPr>
        <w:t xml:space="preserve">42.36 </w:t>
      </w:r>
      <w:r>
        <w:t>万</w:t>
      </w:r>
    </w:p>
    <w:p>
      <w:pPr>
        <w:pStyle w:val="4"/>
        <w:spacing w:line="407" w:lineRule="exact"/>
        <w:ind w:left="106"/>
        <w:rPr>
          <w:rFonts w:ascii="Times New Roman" w:eastAsia="Times New Roman"/>
        </w:rPr>
      </w:pPr>
      <w:r>
        <w:t xml:space="preserve">元，其中：政府采购货物预算 </w:t>
      </w:r>
      <w:r>
        <w:rPr>
          <w:rFonts w:ascii="Times New Roman" w:eastAsia="Times New Roman"/>
        </w:rPr>
        <w:t xml:space="preserve">42.36 </w:t>
      </w:r>
      <w:r>
        <w:t xml:space="preserve">万元、政府采购服务预算 </w:t>
      </w:r>
      <w:r>
        <w:rPr>
          <w:rFonts w:ascii="Times New Roman" w:eastAsia="Times New Roman"/>
        </w:rPr>
        <w:t>0</w:t>
      </w:r>
    </w:p>
    <w:p>
      <w:pPr>
        <w:pStyle w:val="4"/>
        <w:spacing w:before="149"/>
        <w:ind w:left="106"/>
      </w:pPr>
      <w:r>
        <w:t xml:space="preserve">万元、政府采购工程预算 </w:t>
      </w:r>
      <w:r>
        <w:rPr>
          <w:rFonts w:ascii="Times New Roman" w:eastAsia="Times New Roman"/>
        </w:rPr>
        <w:t xml:space="preserve">0 </w:t>
      </w:r>
      <w:r>
        <w:t>万元。</w:t>
      </w:r>
    </w:p>
    <w:p>
      <w:pPr>
        <w:spacing w:after="0"/>
        <w:sectPr>
          <w:pgSz w:w="11910" w:h="16840"/>
          <w:pgMar w:top="1580" w:right="1200" w:bottom="1400" w:left="1480" w:header="0" w:footer="1204" w:gutter="0"/>
        </w:sectPr>
      </w:pPr>
    </w:p>
    <w:p>
      <w:pPr>
        <w:pStyle w:val="4"/>
        <w:rPr>
          <w:sz w:val="20"/>
        </w:rPr>
      </w:pPr>
    </w:p>
    <w:p>
      <w:pPr>
        <w:pStyle w:val="4"/>
        <w:spacing w:before="1"/>
        <w:rPr>
          <w:sz w:val="24"/>
        </w:rPr>
      </w:pPr>
    </w:p>
    <w:p>
      <w:pPr>
        <w:pStyle w:val="4"/>
        <w:spacing w:before="64"/>
        <w:ind w:left="747"/>
        <w:rPr>
          <w:rFonts w:hint="eastAsia" w:ascii="黑体" w:hAnsi="黑体" w:eastAsia="黑体"/>
        </w:rPr>
      </w:pPr>
      <w:r>
        <w:rPr>
          <w:rFonts w:hint="eastAsia" w:ascii="黑体" w:hAnsi="黑体" w:eastAsia="黑体"/>
        </w:rPr>
        <w:t>七、部门</w:t>
      </w:r>
      <w:r>
        <w:rPr>
          <w:rFonts w:ascii="Times New Roman" w:hAnsi="Times New Roman" w:eastAsia="Times New Roman"/>
        </w:rPr>
        <w:t>“</w:t>
      </w:r>
      <w:r>
        <w:rPr>
          <w:rFonts w:hint="eastAsia" w:ascii="黑体" w:hAnsi="黑体" w:eastAsia="黑体"/>
        </w:rPr>
        <w:t>三公</w:t>
      </w:r>
      <w:r>
        <w:rPr>
          <w:rFonts w:ascii="Times New Roman" w:hAnsi="Times New Roman" w:eastAsia="Times New Roman"/>
        </w:rPr>
        <w:t>”</w:t>
      </w:r>
      <w:r>
        <w:rPr>
          <w:rFonts w:hint="eastAsia" w:ascii="黑体" w:hAnsi="黑体" w:eastAsia="黑体"/>
        </w:rPr>
        <w:t>经费增减变化情况及原因说明</w:t>
      </w:r>
    </w:p>
    <w:p>
      <w:pPr>
        <w:pStyle w:val="4"/>
        <w:spacing w:before="3"/>
        <w:rPr>
          <w:rFonts w:ascii="黑体"/>
          <w:sz w:val="27"/>
        </w:rPr>
      </w:pPr>
    </w:p>
    <w:p>
      <w:pPr>
        <w:pStyle w:val="4"/>
        <w:ind w:right="273"/>
        <w:jc w:val="right"/>
      </w:pPr>
      <w:r>
        <w:rPr>
          <w:spacing w:val="-6"/>
        </w:rPr>
        <w:t xml:space="preserve">昆明市呈贡区人民政府办公室 </w:t>
      </w:r>
      <w:r>
        <w:rPr>
          <w:rFonts w:ascii="Times New Roman" w:eastAsia="Times New Roman"/>
        </w:rPr>
        <w:t>2023</w:t>
      </w:r>
      <w:r>
        <w:rPr>
          <w:rFonts w:ascii="Times New Roman" w:eastAsia="Times New Roman"/>
          <w:spacing w:val="8"/>
        </w:rPr>
        <w:t xml:space="preserve"> </w:t>
      </w:r>
      <w:r>
        <w:t>年一般公共预算财政拨</w:t>
      </w:r>
    </w:p>
    <w:p>
      <w:pPr>
        <w:pStyle w:val="4"/>
        <w:spacing w:before="151"/>
        <w:ind w:right="273"/>
        <w:jc w:val="right"/>
      </w:pPr>
      <w:r>
        <w:rPr>
          <w:spacing w:val="5"/>
        </w:rPr>
        <w:t>款</w:t>
      </w:r>
      <w:r>
        <w:rPr>
          <w:rFonts w:ascii="Times New Roman" w:hAnsi="Times New Roman" w:eastAsia="Times New Roman"/>
        </w:rPr>
        <w:t>“</w:t>
      </w:r>
      <w:r>
        <w:rPr>
          <w:spacing w:val="2"/>
        </w:rPr>
        <w:t>三公</w:t>
      </w:r>
      <w:r>
        <w:rPr>
          <w:rFonts w:ascii="Times New Roman" w:hAnsi="Times New Roman" w:eastAsia="Times New Roman"/>
          <w:spacing w:val="4"/>
        </w:rPr>
        <w:t>”</w:t>
      </w:r>
      <w:r>
        <w:rPr>
          <w:spacing w:val="-11"/>
        </w:rPr>
        <w:t xml:space="preserve">经费预算合计 </w:t>
      </w:r>
      <w:r>
        <w:rPr>
          <w:rFonts w:ascii="Times New Roman" w:hAnsi="Times New Roman" w:eastAsia="Times New Roman"/>
        </w:rPr>
        <w:t xml:space="preserve">11.17 </w:t>
      </w:r>
      <w:r>
        <w:rPr>
          <w:spacing w:val="-8"/>
        </w:rPr>
        <w:t xml:space="preserve">万元，较上年减少 </w:t>
      </w:r>
      <w:r>
        <w:rPr>
          <w:rFonts w:ascii="Times New Roman" w:hAnsi="Times New Roman" w:eastAsia="Times New Roman"/>
        </w:rPr>
        <w:t>6.7</w:t>
      </w:r>
      <w:r>
        <w:rPr>
          <w:rFonts w:ascii="Times New Roman" w:hAnsi="Times New Roman" w:eastAsia="Times New Roman"/>
          <w:spacing w:val="3"/>
        </w:rPr>
        <w:t xml:space="preserve"> </w:t>
      </w:r>
      <w:r>
        <w:rPr>
          <w:spacing w:val="1"/>
        </w:rPr>
        <w:t>万元，下降</w:t>
      </w:r>
    </w:p>
    <w:p>
      <w:pPr>
        <w:pStyle w:val="8"/>
        <w:numPr>
          <w:ilvl w:val="1"/>
          <w:numId w:val="4"/>
        </w:numPr>
        <w:tabs>
          <w:tab w:val="left" w:pos="723"/>
        </w:tabs>
        <w:spacing w:before="150" w:after="0" w:line="240" w:lineRule="auto"/>
        <w:ind w:left="828" w:right="4932" w:hanging="829"/>
        <w:jc w:val="right"/>
        <w:rPr>
          <w:sz w:val="32"/>
        </w:rPr>
      </w:pPr>
      <w:r>
        <w:rPr>
          <w:rFonts w:ascii="Times New Roman" w:eastAsia="Times New Roman"/>
          <w:w w:val="95"/>
          <w:sz w:val="32"/>
        </w:rPr>
        <w:t>%</w:t>
      </w:r>
      <w:r>
        <w:rPr>
          <w:w w:val="95"/>
          <w:sz w:val="32"/>
        </w:rPr>
        <w:t>，具体变动情况如下：</w:t>
      </w:r>
    </w:p>
    <w:p>
      <w:pPr>
        <w:pStyle w:val="4"/>
        <w:spacing w:before="4"/>
        <w:rPr>
          <w:sz w:val="27"/>
        </w:rPr>
      </w:pPr>
    </w:p>
    <w:p>
      <w:pPr>
        <w:pStyle w:val="4"/>
        <w:ind w:right="4958"/>
        <w:jc w:val="right"/>
      </w:pPr>
      <w:r>
        <w:rPr>
          <w:w w:val="95"/>
        </w:rPr>
        <w:t>（一）因公出国（境）费</w:t>
      </w:r>
    </w:p>
    <w:p>
      <w:pPr>
        <w:pStyle w:val="4"/>
        <w:spacing w:before="3"/>
        <w:rPr>
          <w:sz w:val="27"/>
        </w:rPr>
      </w:pPr>
    </w:p>
    <w:p>
      <w:pPr>
        <w:pStyle w:val="4"/>
        <w:ind w:left="747"/>
      </w:pPr>
      <w:r>
        <w:t xml:space="preserve">昆明市呈贡区人民政府办公室 </w:t>
      </w:r>
      <w:r>
        <w:rPr>
          <w:rFonts w:ascii="Times New Roman" w:eastAsia="Times New Roman"/>
        </w:rPr>
        <w:t xml:space="preserve">2023 </w:t>
      </w:r>
      <w:r>
        <w:t>年因公出国（境）费预</w:t>
      </w:r>
    </w:p>
    <w:p>
      <w:pPr>
        <w:pStyle w:val="4"/>
        <w:spacing w:before="152" w:line="326" w:lineRule="auto"/>
        <w:ind w:left="106" w:right="273"/>
      </w:pPr>
      <w:r>
        <w:rPr>
          <w:spacing w:val="-28"/>
        </w:rPr>
        <w:t xml:space="preserve">算为 </w:t>
      </w:r>
      <w:r>
        <w:rPr>
          <w:rFonts w:ascii="Times New Roman" w:eastAsia="Times New Roman"/>
        </w:rPr>
        <w:t xml:space="preserve">0.3 </w:t>
      </w:r>
      <w:r>
        <w:rPr>
          <w:spacing w:val="-14"/>
        </w:rPr>
        <w:t xml:space="preserve">万元，较上年减少 </w:t>
      </w:r>
      <w:r>
        <w:rPr>
          <w:rFonts w:ascii="Times New Roman" w:eastAsia="Times New Roman"/>
        </w:rPr>
        <w:t xml:space="preserve">6.2 </w:t>
      </w:r>
      <w:r>
        <w:rPr>
          <w:spacing w:val="-18"/>
        </w:rPr>
        <w:t xml:space="preserve">万元，下降 </w:t>
      </w:r>
      <w:r>
        <w:rPr>
          <w:rFonts w:ascii="Times New Roman" w:eastAsia="Times New Roman"/>
          <w:spacing w:val="-3"/>
        </w:rPr>
        <w:t>95.38%</w:t>
      </w:r>
      <w:r>
        <w:rPr>
          <w:spacing w:val="-2"/>
        </w:rPr>
        <w:t>，共计安排因公出国（境）</w:t>
      </w:r>
      <w:r>
        <w:rPr>
          <w:spacing w:val="-29"/>
        </w:rPr>
        <w:t xml:space="preserve">团组 </w:t>
      </w:r>
      <w:r>
        <w:rPr>
          <w:rFonts w:ascii="Times New Roman" w:eastAsia="Times New Roman"/>
        </w:rPr>
        <w:t xml:space="preserve">0 </w:t>
      </w:r>
      <w:r>
        <w:t>个，因公出国（境）</w:t>
      </w:r>
      <w:r>
        <w:rPr>
          <w:rFonts w:ascii="Times New Roman" w:eastAsia="Times New Roman"/>
        </w:rPr>
        <w:t xml:space="preserve">1 </w:t>
      </w:r>
      <w:r>
        <w:t>人次。</w:t>
      </w:r>
    </w:p>
    <w:p>
      <w:pPr>
        <w:pStyle w:val="4"/>
        <w:spacing w:before="204" w:line="326" w:lineRule="auto"/>
        <w:ind w:left="106" w:right="273" w:firstLine="640"/>
      </w:pPr>
      <w:r>
        <w:rPr>
          <w:spacing w:val="-3"/>
        </w:rPr>
        <w:t>减少的原因是近几年实际均未发生因公出国</w:t>
      </w:r>
      <w:r>
        <w:t>（境</w:t>
      </w:r>
      <w:r>
        <w:rPr>
          <w:spacing w:val="-39"/>
        </w:rPr>
        <w:t>）</w:t>
      </w:r>
      <w:r>
        <w:rPr>
          <w:spacing w:val="-10"/>
        </w:rPr>
        <w:t>支出，故本年减少该项预算。</w:t>
      </w:r>
    </w:p>
    <w:p>
      <w:pPr>
        <w:pStyle w:val="4"/>
        <w:spacing w:before="4"/>
        <w:ind w:left="747"/>
      </w:pPr>
      <w:r>
        <w:t>（二）公务接待费</w:t>
      </w:r>
    </w:p>
    <w:p>
      <w:pPr>
        <w:pStyle w:val="4"/>
        <w:spacing w:before="4"/>
        <w:rPr>
          <w:sz w:val="27"/>
        </w:rPr>
      </w:pPr>
    </w:p>
    <w:p>
      <w:pPr>
        <w:pStyle w:val="4"/>
        <w:spacing w:line="328" w:lineRule="auto"/>
        <w:ind w:left="106" w:right="272" w:firstLine="640"/>
        <w:jc w:val="both"/>
      </w:pPr>
      <w:r>
        <w:rPr>
          <w:spacing w:val="-3"/>
        </w:rPr>
        <w:t xml:space="preserve">昆明市呈贡区人民政府办公室 </w:t>
      </w:r>
      <w:r>
        <w:rPr>
          <w:rFonts w:ascii="Times New Roman" w:eastAsia="Times New Roman"/>
        </w:rPr>
        <w:t xml:space="preserve">2023 </w:t>
      </w:r>
      <w:r>
        <w:rPr>
          <w:spacing w:val="-5"/>
        </w:rPr>
        <w:t xml:space="preserve">年公务接待费预算为 </w:t>
      </w:r>
      <w:r>
        <w:rPr>
          <w:rFonts w:ascii="Times New Roman" w:eastAsia="Times New Roman"/>
        </w:rPr>
        <w:t xml:space="preserve">0 </w:t>
      </w:r>
      <w:r>
        <w:rPr>
          <w:spacing w:val="-6"/>
        </w:rPr>
        <w:t xml:space="preserve">万元，较上年减少 </w:t>
      </w:r>
      <w:r>
        <w:rPr>
          <w:rFonts w:ascii="Times New Roman" w:eastAsia="Times New Roman"/>
        </w:rPr>
        <w:t xml:space="preserve">0.5 </w:t>
      </w:r>
      <w:r>
        <w:rPr>
          <w:spacing w:val="-10"/>
        </w:rPr>
        <w:t xml:space="preserve">万元，下降 </w:t>
      </w:r>
      <w:r>
        <w:rPr>
          <w:rFonts w:ascii="Times New Roman" w:eastAsia="Times New Roman"/>
        </w:rPr>
        <w:t>100%</w:t>
      </w:r>
      <w:r>
        <w:rPr>
          <w:spacing w:val="1"/>
        </w:rPr>
        <w:t>，预计国内公务接待批</w:t>
      </w:r>
      <w:r>
        <w:rPr>
          <w:spacing w:val="-27"/>
        </w:rPr>
        <w:t xml:space="preserve">次为 </w:t>
      </w:r>
      <w:r>
        <w:rPr>
          <w:rFonts w:ascii="Times New Roman" w:eastAsia="Times New Roman"/>
        </w:rPr>
        <w:t xml:space="preserve">0 </w:t>
      </w:r>
      <w:r>
        <w:rPr>
          <w:spacing w:val="-12"/>
        </w:rPr>
        <w:t xml:space="preserve">次，共计接待 </w:t>
      </w:r>
      <w:r>
        <w:rPr>
          <w:rFonts w:ascii="Times New Roman" w:eastAsia="Times New Roman"/>
        </w:rPr>
        <w:t xml:space="preserve">0 </w:t>
      </w:r>
      <w:r>
        <w:t>人次。</w:t>
      </w:r>
    </w:p>
    <w:p>
      <w:pPr>
        <w:pStyle w:val="4"/>
        <w:spacing w:before="195" w:line="328" w:lineRule="auto"/>
        <w:ind w:left="106" w:right="271" w:firstLine="640"/>
      </w:pPr>
      <w:r>
        <w:rPr>
          <w:spacing w:val="-8"/>
        </w:rPr>
        <w:t>减少的原因是坚持厉行节约原则，本年减少单位内部公务接待费用，仅预算外事公务接待费。</w:t>
      </w:r>
    </w:p>
    <w:p>
      <w:pPr>
        <w:pStyle w:val="4"/>
        <w:spacing w:before="196"/>
        <w:ind w:left="747"/>
      </w:pPr>
      <w:r>
        <w:t>（三）公务用车购置及运行维护费</w:t>
      </w:r>
    </w:p>
    <w:p>
      <w:pPr>
        <w:pStyle w:val="4"/>
        <w:spacing w:before="5"/>
        <w:rPr>
          <w:sz w:val="27"/>
        </w:rPr>
      </w:pPr>
    </w:p>
    <w:p>
      <w:pPr>
        <w:pStyle w:val="4"/>
        <w:ind w:right="271"/>
        <w:jc w:val="right"/>
      </w:pPr>
      <w:r>
        <w:t xml:space="preserve">昆明市呈贡区人民政府办公室 </w:t>
      </w:r>
      <w:r>
        <w:rPr>
          <w:rFonts w:ascii="Times New Roman" w:eastAsia="Times New Roman"/>
        </w:rPr>
        <w:t xml:space="preserve">2023 </w:t>
      </w:r>
      <w:r>
        <w:t>年公务用车购置及运</w:t>
      </w:r>
    </w:p>
    <w:p>
      <w:pPr>
        <w:pStyle w:val="4"/>
        <w:spacing w:before="149"/>
        <w:ind w:right="318"/>
        <w:jc w:val="right"/>
        <w:rPr>
          <w:rFonts w:ascii="Times New Roman" w:eastAsia="Times New Roman"/>
        </w:rPr>
      </w:pPr>
      <w:r>
        <w:rPr>
          <w:spacing w:val="-15"/>
        </w:rPr>
        <w:t xml:space="preserve">行维护费为 </w:t>
      </w:r>
      <w:r>
        <w:rPr>
          <w:rFonts w:ascii="Times New Roman" w:eastAsia="Times New Roman"/>
        </w:rPr>
        <w:t xml:space="preserve">10.87 </w:t>
      </w:r>
      <w:r>
        <w:rPr>
          <w:spacing w:val="-5"/>
        </w:rPr>
        <w:t xml:space="preserve">万元，较上年持平。其中：公务用车购置费 </w:t>
      </w:r>
      <w:r>
        <w:rPr>
          <w:rFonts w:ascii="Times New Roman" w:eastAsia="Times New Roman"/>
        </w:rPr>
        <w:t>0</w:t>
      </w:r>
    </w:p>
    <w:p>
      <w:pPr>
        <w:spacing w:after="0"/>
        <w:jc w:val="right"/>
        <w:rPr>
          <w:rFonts w:ascii="Times New Roman" w:eastAsia="Times New Roman"/>
        </w:rPr>
        <w:sectPr>
          <w:pgSz w:w="11910" w:h="16840"/>
          <w:pgMar w:top="1580" w:right="1200" w:bottom="1400" w:left="1480" w:header="0" w:footer="1204" w:gutter="0"/>
        </w:sectPr>
      </w:pPr>
    </w:p>
    <w:p>
      <w:pPr>
        <w:pStyle w:val="4"/>
        <w:rPr>
          <w:rFonts w:ascii="Times New Roman"/>
          <w:sz w:val="20"/>
        </w:rPr>
      </w:pPr>
    </w:p>
    <w:p>
      <w:pPr>
        <w:pStyle w:val="4"/>
        <w:spacing w:before="1"/>
        <w:rPr>
          <w:rFonts w:ascii="Times New Roman"/>
          <w:sz w:val="29"/>
        </w:rPr>
      </w:pPr>
    </w:p>
    <w:p>
      <w:pPr>
        <w:pStyle w:val="4"/>
        <w:spacing w:before="65"/>
        <w:ind w:left="106"/>
      </w:pPr>
      <w:r>
        <w:t xml:space="preserve">万元，较上年增加 </w:t>
      </w:r>
      <w:r>
        <w:rPr>
          <w:rFonts w:ascii="Times New Roman" w:eastAsia="Times New Roman"/>
        </w:rPr>
        <w:t xml:space="preserve">0 </w:t>
      </w:r>
      <w:r>
        <w:t xml:space="preserve">万元；公务用车运行维护费 </w:t>
      </w:r>
      <w:r>
        <w:rPr>
          <w:rFonts w:ascii="Times New Roman" w:eastAsia="Times New Roman"/>
        </w:rPr>
        <w:t xml:space="preserve">10.87 </w:t>
      </w:r>
      <w:r>
        <w:t>万元，较</w:t>
      </w:r>
    </w:p>
    <w:p>
      <w:pPr>
        <w:pStyle w:val="4"/>
        <w:spacing w:before="149"/>
        <w:ind w:left="106"/>
      </w:pPr>
      <w:r>
        <w:rPr>
          <w:spacing w:val="-18"/>
        </w:rPr>
        <w:t xml:space="preserve">上年持平。共计购置公务用车 </w:t>
      </w:r>
      <w:r>
        <w:rPr>
          <w:rFonts w:ascii="Times New Roman" w:eastAsia="Times New Roman"/>
        </w:rPr>
        <w:t xml:space="preserve">0 </w:t>
      </w:r>
      <w:r>
        <w:rPr>
          <w:spacing w:val="-20"/>
        </w:rPr>
        <w:t xml:space="preserve">辆，年末公务用车保有量为 </w:t>
      </w:r>
      <w:r>
        <w:rPr>
          <w:rFonts w:ascii="Times New Roman" w:eastAsia="Times New Roman"/>
        </w:rPr>
        <w:t xml:space="preserve">4 </w:t>
      </w:r>
      <w:r>
        <w:t>辆。</w:t>
      </w:r>
    </w:p>
    <w:p>
      <w:pPr>
        <w:pStyle w:val="4"/>
        <w:spacing w:before="5"/>
        <w:rPr>
          <w:sz w:val="27"/>
        </w:rPr>
      </w:pPr>
    </w:p>
    <w:p>
      <w:pPr>
        <w:pStyle w:val="4"/>
        <w:ind w:left="747"/>
        <w:rPr>
          <w:rFonts w:hint="eastAsia" w:ascii="黑体" w:eastAsia="黑体"/>
        </w:rPr>
      </w:pPr>
      <w:r>
        <w:rPr>
          <w:rFonts w:hint="eastAsia" w:ascii="黑体" w:eastAsia="黑体"/>
        </w:rPr>
        <w:t>八、重点项目预算绩效目标情况</w:t>
      </w:r>
    </w:p>
    <w:p>
      <w:pPr>
        <w:pStyle w:val="4"/>
        <w:spacing w:before="2"/>
        <w:rPr>
          <w:rFonts w:ascii="黑体"/>
          <w:sz w:val="27"/>
        </w:rPr>
      </w:pPr>
    </w:p>
    <w:p>
      <w:pPr>
        <w:pStyle w:val="4"/>
        <w:ind w:left="802"/>
        <w:jc w:val="both"/>
      </w:pPr>
      <w:r>
        <w:t xml:space="preserve">昆明市呈贡区人民政府办公室 </w:t>
      </w:r>
      <w:r>
        <w:rPr>
          <w:rFonts w:ascii="Times New Roman" w:eastAsia="Times New Roman"/>
        </w:rPr>
        <w:t xml:space="preserve">2023 </w:t>
      </w:r>
      <w:r>
        <w:t>年项目预算绩效目</w:t>
      </w:r>
    </w:p>
    <w:p>
      <w:pPr>
        <w:pStyle w:val="4"/>
        <w:spacing w:before="152" w:line="328" w:lineRule="auto"/>
        <w:ind w:left="106" w:right="300"/>
        <w:jc w:val="both"/>
      </w:pPr>
      <w:r>
        <w:rPr>
          <w:spacing w:val="7"/>
        </w:rPr>
        <w:t xml:space="preserve">标实现全覆盖， 涉及项目资金 </w:t>
      </w:r>
      <w:r>
        <w:rPr>
          <w:rFonts w:ascii="Times New Roman" w:eastAsia="Times New Roman"/>
          <w:spacing w:val="11"/>
        </w:rPr>
        <w:t>195.60</w:t>
      </w:r>
      <w:r>
        <w:rPr>
          <w:rFonts w:ascii="Times New Roman" w:eastAsia="Times New Roman"/>
          <w:spacing w:val="17"/>
        </w:rPr>
        <w:t xml:space="preserve"> </w:t>
      </w:r>
      <w:r>
        <w:rPr>
          <w:spacing w:val="6"/>
        </w:rPr>
        <w:t>万元， 项目绩效围绕</w:t>
      </w:r>
      <w:r>
        <w:rPr>
          <w:spacing w:val="31"/>
          <w:w w:val="95"/>
        </w:rPr>
        <w:t xml:space="preserve">部门总体绩效目标开展。各项目绩效目标内容指向明确、 </w:t>
      </w:r>
      <w:r>
        <w:rPr>
          <w:spacing w:val="18"/>
        </w:rPr>
        <w:t xml:space="preserve">细化量化、合理可行、便于考核， 符合规定的格式要求， </w:t>
      </w:r>
      <w:r>
        <w:rPr>
          <w:spacing w:val="31"/>
        </w:rPr>
        <w:t>相关内容完整。</w:t>
      </w:r>
      <w:r>
        <w:rPr>
          <w:rFonts w:ascii="Times New Roman" w:eastAsia="Times New Roman"/>
          <w:spacing w:val="10"/>
        </w:rPr>
        <w:t>2023</w:t>
      </w:r>
      <w:r>
        <w:rPr>
          <w:rFonts w:ascii="Times New Roman" w:eastAsia="Times New Roman"/>
          <w:spacing w:val="9"/>
        </w:rPr>
        <w:t xml:space="preserve"> </w:t>
      </w:r>
      <w:r>
        <w:rPr>
          <w:spacing w:val="15"/>
        </w:rPr>
        <w:t>年预算执行过程中， 昆明市呈贡区人</w:t>
      </w:r>
      <w:r>
        <w:rPr>
          <w:spacing w:val="18"/>
        </w:rPr>
        <w:t>民政府办公室将围绕预期绩效目标， 对项目的实施情况进</w:t>
      </w:r>
      <w:r>
        <w:rPr>
          <w:spacing w:val="11"/>
        </w:rPr>
        <w:t>行动态跟踪， 及时发现并纠正实施过程中存在的问题， 确</w:t>
      </w:r>
      <w:r>
        <w:rPr>
          <w:spacing w:val="27"/>
        </w:rPr>
        <w:t>保绩效目标如期实现。重点项目预算绩效目标如下：</w:t>
      </w:r>
    </w:p>
    <w:p>
      <w:pPr>
        <w:pStyle w:val="8"/>
        <w:numPr>
          <w:ilvl w:val="2"/>
          <w:numId w:val="4"/>
        </w:numPr>
        <w:tabs>
          <w:tab w:val="left" w:pos="989"/>
        </w:tabs>
        <w:spacing w:before="186" w:after="0" w:line="328" w:lineRule="auto"/>
        <w:ind w:left="106" w:right="271" w:firstLine="640"/>
        <w:jc w:val="both"/>
        <w:rPr>
          <w:sz w:val="32"/>
        </w:rPr>
      </w:pPr>
      <w:r>
        <w:rPr>
          <w:spacing w:val="-4"/>
          <w:sz w:val="32"/>
        </w:rPr>
        <w:t>社会化服务工作经费。主要目标是保障政府办公室会务服</w:t>
      </w:r>
      <w:r>
        <w:rPr>
          <w:spacing w:val="-12"/>
          <w:sz w:val="32"/>
        </w:rPr>
        <w:t>务、后勤服务工作，区政府及办公室各类临时性需社会服务外包</w:t>
      </w:r>
      <w:r>
        <w:rPr>
          <w:spacing w:val="-13"/>
          <w:w w:val="95"/>
          <w:sz w:val="32"/>
        </w:rPr>
        <w:t xml:space="preserve">的工作，如：设备维护、整理档案、固定资产清查工作及办公室 </w:t>
      </w:r>
      <w:r>
        <w:rPr>
          <w:spacing w:val="-13"/>
          <w:sz w:val="32"/>
        </w:rPr>
        <w:t>装修改造等工作，保证办公室工作正常运行。</w:t>
      </w:r>
    </w:p>
    <w:p>
      <w:pPr>
        <w:pStyle w:val="8"/>
        <w:numPr>
          <w:ilvl w:val="2"/>
          <w:numId w:val="4"/>
        </w:numPr>
        <w:tabs>
          <w:tab w:val="left" w:pos="989"/>
        </w:tabs>
        <w:spacing w:before="194" w:after="0" w:line="328" w:lineRule="auto"/>
        <w:ind w:left="106" w:right="273" w:firstLine="640"/>
        <w:jc w:val="both"/>
        <w:rPr>
          <w:sz w:val="32"/>
        </w:rPr>
      </w:pPr>
      <w:r>
        <w:rPr>
          <w:spacing w:val="-4"/>
          <w:sz w:val="32"/>
        </w:rPr>
        <w:t>宣传及业务培训工作经费。主要目标是组织专职协管员教</w:t>
      </w:r>
      <w:r>
        <w:rPr>
          <w:spacing w:val="-12"/>
          <w:w w:val="95"/>
          <w:sz w:val="32"/>
        </w:rPr>
        <w:t xml:space="preserve">育学习培训工作，开展《昆明市居住房屋租赁管理办法》和《昆 </w:t>
      </w:r>
      <w:r>
        <w:rPr>
          <w:spacing w:val="-17"/>
          <w:sz w:val="32"/>
        </w:rPr>
        <w:t>明市流动人口和服务管理条例》媒体宣传报道，编写、印制相关</w:t>
      </w:r>
      <w:r>
        <w:rPr>
          <w:spacing w:val="-15"/>
          <w:sz w:val="32"/>
        </w:rPr>
        <w:t>工作规范、工作制度、工作手册、宣传手册等；组织专家学者对呈贡区流动人口和出租房屋工作进行专题调研。</w:t>
      </w:r>
    </w:p>
    <w:p>
      <w:pPr>
        <w:spacing w:after="0" w:line="328" w:lineRule="auto"/>
        <w:jc w:val="both"/>
        <w:rPr>
          <w:sz w:val="32"/>
        </w:rPr>
        <w:sectPr>
          <w:pgSz w:w="11910" w:h="16840"/>
          <w:pgMar w:top="1580" w:right="1200" w:bottom="1400" w:left="1480" w:header="0" w:footer="1204" w:gutter="0"/>
        </w:sectPr>
      </w:pPr>
    </w:p>
    <w:p>
      <w:pPr>
        <w:pStyle w:val="4"/>
        <w:rPr>
          <w:sz w:val="20"/>
        </w:rPr>
      </w:pPr>
    </w:p>
    <w:p>
      <w:pPr>
        <w:pStyle w:val="4"/>
        <w:spacing w:before="1"/>
        <w:rPr>
          <w:sz w:val="24"/>
        </w:rPr>
      </w:pPr>
    </w:p>
    <w:p>
      <w:pPr>
        <w:pStyle w:val="8"/>
        <w:numPr>
          <w:ilvl w:val="2"/>
          <w:numId w:val="4"/>
        </w:numPr>
        <w:tabs>
          <w:tab w:val="left" w:pos="989"/>
        </w:tabs>
        <w:spacing w:before="64" w:after="0" w:line="326" w:lineRule="auto"/>
        <w:ind w:left="106" w:right="273" w:firstLine="640"/>
        <w:jc w:val="left"/>
        <w:rPr>
          <w:sz w:val="32"/>
        </w:rPr>
      </w:pPr>
      <w:r>
        <w:rPr>
          <w:spacing w:val="-4"/>
          <w:w w:val="95"/>
          <w:sz w:val="32"/>
        </w:rPr>
        <w:t xml:space="preserve">春节值班部门慰问经费。主要目标是如期完成春节期间应 </w:t>
      </w:r>
      <w:r>
        <w:rPr>
          <w:spacing w:val="-4"/>
          <w:sz w:val="32"/>
        </w:rPr>
        <w:t>急值守部门的慰问工作。</w:t>
      </w:r>
    </w:p>
    <w:p>
      <w:pPr>
        <w:pStyle w:val="8"/>
        <w:numPr>
          <w:ilvl w:val="2"/>
          <w:numId w:val="4"/>
        </w:numPr>
        <w:tabs>
          <w:tab w:val="left" w:pos="989"/>
        </w:tabs>
        <w:spacing w:before="205" w:after="0" w:line="328" w:lineRule="auto"/>
        <w:ind w:left="106" w:right="114" w:firstLine="640"/>
        <w:jc w:val="left"/>
        <w:rPr>
          <w:sz w:val="32"/>
        </w:rPr>
      </w:pPr>
      <w:r>
        <w:rPr>
          <w:spacing w:val="-4"/>
          <w:sz w:val="32"/>
        </w:rPr>
        <w:t>外事工作经费。主要目标是充分利用驻地资源条件，向外</w:t>
      </w:r>
      <w:r>
        <w:rPr>
          <w:spacing w:val="-19"/>
          <w:w w:val="95"/>
          <w:sz w:val="32"/>
        </w:rPr>
        <w:t xml:space="preserve">界宣传昆明，提高呈贡区知名度，为呈贡企业招商引资牵线搭桥； </w:t>
      </w:r>
      <w:r>
        <w:rPr>
          <w:spacing w:val="-19"/>
          <w:sz w:val="32"/>
        </w:rPr>
        <w:t xml:space="preserve">对内为呈贡企业、机构来驻地做好接待工作，提供全方位服务， </w:t>
      </w:r>
      <w:r>
        <w:rPr>
          <w:spacing w:val="-21"/>
          <w:sz w:val="32"/>
        </w:rPr>
        <w:t>竭力推动呈贡与外界的经济联系与合作。圆满完成上级布置各项工作任务和要求。</w:t>
      </w:r>
    </w:p>
    <w:p>
      <w:pPr>
        <w:pStyle w:val="8"/>
        <w:numPr>
          <w:ilvl w:val="2"/>
          <w:numId w:val="4"/>
        </w:numPr>
        <w:tabs>
          <w:tab w:val="left" w:pos="997"/>
        </w:tabs>
        <w:spacing w:before="192" w:after="0" w:line="240" w:lineRule="auto"/>
        <w:ind w:left="996" w:right="0" w:hanging="250"/>
        <w:jc w:val="left"/>
        <w:rPr>
          <w:sz w:val="32"/>
        </w:rPr>
      </w:pPr>
      <w:r>
        <w:rPr>
          <w:spacing w:val="11"/>
          <w:sz w:val="32"/>
        </w:rPr>
        <w:t>办公业务经费。主要目标是保障区人民政府办公耗材费</w:t>
      </w:r>
    </w:p>
    <w:p>
      <w:pPr>
        <w:pStyle w:val="4"/>
        <w:spacing w:before="149" w:line="328" w:lineRule="auto"/>
        <w:ind w:left="106" w:right="114"/>
      </w:pPr>
      <w:r>
        <w:t>（</w:t>
      </w:r>
      <w:r>
        <w:rPr>
          <w:spacing w:val="-12"/>
        </w:rPr>
        <w:t>包括碳粉、硒鼓、网线、设备接头、机顶盒、交换机等消耗性物品</w:t>
      </w:r>
      <w:r>
        <w:rPr>
          <w:spacing w:val="-55"/>
        </w:rPr>
        <w:t>）</w:t>
      </w:r>
      <w:r>
        <w:rPr>
          <w:spacing w:val="-8"/>
        </w:rPr>
        <w:t>及办公用品购置</w:t>
      </w:r>
      <w:r>
        <w:t>（</w:t>
      </w:r>
      <w:r>
        <w:rPr>
          <w:spacing w:val="-14"/>
        </w:rPr>
        <w:t>办公用品笔记本、笔、文件夹、纸杯等</w:t>
      </w:r>
      <w:r>
        <w:rPr>
          <w:spacing w:val="-11"/>
        </w:rPr>
        <w:t>） 需求；电话费及宽带数据使用费、疫情防控指挥部经费、值班物</w:t>
      </w:r>
      <w:r>
        <w:rPr>
          <w:spacing w:val="-14"/>
        </w:rPr>
        <w:t>资保障经费、专项办公费</w:t>
      </w:r>
      <w:r>
        <w:t>（政府工作报告撰写专项经费</w:t>
      </w:r>
      <w:r>
        <w:rPr>
          <w:spacing w:val="-36"/>
        </w:rPr>
        <w:t>）</w:t>
      </w:r>
      <w:r>
        <w:t>等日常开支。</w:t>
      </w:r>
    </w:p>
    <w:p>
      <w:pPr>
        <w:pStyle w:val="4"/>
        <w:spacing w:before="191"/>
        <w:ind w:left="747"/>
        <w:rPr>
          <w:rFonts w:hint="eastAsia" w:ascii="黑体" w:eastAsia="黑体"/>
        </w:rPr>
      </w:pPr>
      <w:r>
        <w:rPr>
          <w:rFonts w:hint="eastAsia" w:ascii="黑体" w:eastAsia="黑体"/>
        </w:rPr>
        <w:t>九、其他公开信息</w:t>
      </w:r>
    </w:p>
    <w:p>
      <w:pPr>
        <w:pStyle w:val="4"/>
        <w:spacing w:before="5"/>
        <w:rPr>
          <w:rFonts w:ascii="黑体"/>
          <w:sz w:val="27"/>
        </w:rPr>
      </w:pPr>
    </w:p>
    <w:p>
      <w:pPr>
        <w:pStyle w:val="4"/>
        <w:ind w:left="747"/>
      </w:pPr>
      <w:r>
        <w:t>（一）专业名词解释</w:t>
      </w:r>
    </w:p>
    <w:p>
      <w:pPr>
        <w:pStyle w:val="4"/>
        <w:spacing w:before="2"/>
        <w:rPr>
          <w:sz w:val="27"/>
        </w:rPr>
      </w:pPr>
    </w:p>
    <w:p>
      <w:pPr>
        <w:pStyle w:val="8"/>
        <w:numPr>
          <w:ilvl w:val="0"/>
          <w:numId w:val="5"/>
        </w:numPr>
        <w:tabs>
          <w:tab w:val="left" w:pos="989"/>
        </w:tabs>
        <w:spacing w:before="1" w:after="0" w:line="328" w:lineRule="auto"/>
        <w:ind w:left="106" w:right="273" w:firstLine="640"/>
        <w:jc w:val="left"/>
        <w:rPr>
          <w:sz w:val="32"/>
        </w:rPr>
      </w:pPr>
      <w:r>
        <w:rPr>
          <w:spacing w:val="-4"/>
          <w:sz w:val="32"/>
        </w:rPr>
        <w:t>一般公共预算收入：政府凭借国家政治权力，以社会管理者身份筹集以税收为主体的财政收入，主要用于保障和改善民生、维持国家行政职能正常运转、保障国家安全等方面。</w:t>
      </w:r>
    </w:p>
    <w:p>
      <w:pPr>
        <w:pStyle w:val="8"/>
        <w:numPr>
          <w:ilvl w:val="0"/>
          <w:numId w:val="5"/>
        </w:numPr>
        <w:tabs>
          <w:tab w:val="left" w:pos="989"/>
        </w:tabs>
        <w:spacing w:before="196" w:after="0" w:line="326" w:lineRule="auto"/>
        <w:ind w:left="106" w:right="114" w:firstLine="640"/>
        <w:jc w:val="left"/>
        <w:rPr>
          <w:sz w:val="32"/>
        </w:rPr>
      </w:pPr>
      <w:r>
        <w:rPr>
          <w:spacing w:val="-4"/>
          <w:sz w:val="32"/>
        </w:rPr>
        <w:t>一般公共预算支出：通过一般公共预算收入统筹安排的支</w:t>
      </w:r>
      <w:r>
        <w:rPr>
          <w:spacing w:val="-19"/>
          <w:w w:val="95"/>
          <w:sz w:val="32"/>
        </w:rPr>
        <w:t>出。其功能分类范围主要包括：一般公共服务、公共安全、教育、</w:t>
      </w:r>
    </w:p>
    <w:p>
      <w:pPr>
        <w:spacing w:after="0" w:line="326" w:lineRule="auto"/>
        <w:jc w:val="left"/>
        <w:rPr>
          <w:sz w:val="32"/>
        </w:rPr>
        <w:sectPr>
          <w:pgSz w:w="11910" w:h="16840"/>
          <w:pgMar w:top="1580" w:right="1200" w:bottom="1400" w:left="1480" w:header="0" w:footer="1204" w:gutter="0"/>
        </w:sectPr>
      </w:pPr>
    </w:p>
    <w:p>
      <w:pPr>
        <w:pStyle w:val="4"/>
        <w:rPr>
          <w:sz w:val="20"/>
        </w:rPr>
      </w:pPr>
    </w:p>
    <w:p>
      <w:pPr>
        <w:pStyle w:val="4"/>
        <w:spacing w:before="11"/>
        <w:rPr>
          <w:sz w:val="24"/>
        </w:rPr>
      </w:pPr>
    </w:p>
    <w:p>
      <w:pPr>
        <w:pStyle w:val="4"/>
        <w:spacing w:before="54" w:line="326" w:lineRule="auto"/>
        <w:ind w:left="106" w:right="273"/>
        <w:jc w:val="both"/>
      </w:pPr>
      <w:r>
        <w:rPr>
          <w:spacing w:val="-10"/>
          <w:w w:val="95"/>
        </w:rPr>
        <w:t xml:space="preserve">科学技术、文化体育与传媒、社会保障和就业、医疗卫生、节能 </w:t>
      </w:r>
      <w:r>
        <w:rPr>
          <w:spacing w:val="-13"/>
          <w:w w:val="95"/>
        </w:rPr>
        <w:t xml:space="preserve">环保、城乡社区事务、农林水事务、资源勘探信息等支出、住房 </w:t>
      </w:r>
      <w:r>
        <w:rPr>
          <w:spacing w:val="-13"/>
        </w:rPr>
        <w:t>保障支出等。</w:t>
      </w:r>
    </w:p>
    <w:p>
      <w:pPr>
        <w:pStyle w:val="8"/>
        <w:numPr>
          <w:ilvl w:val="0"/>
          <w:numId w:val="5"/>
        </w:numPr>
        <w:tabs>
          <w:tab w:val="left" w:pos="989"/>
        </w:tabs>
        <w:spacing w:before="207" w:after="0" w:line="328" w:lineRule="auto"/>
        <w:ind w:left="106" w:right="273" w:firstLine="640"/>
        <w:jc w:val="both"/>
        <w:rPr>
          <w:sz w:val="32"/>
        </w:rPr>
      </w:pPr>
      <w:r>
        <w:rPr>
          <w:w w:val="95"/>
          <w:sz w:val="32"/>
        </w:rPr>
        <w:t>基本支出预算</w:t>
      </w:r>
      <w:r>
        <w:rPr>
          <w:rFonts w:ascii="Times New Roman" w:eastAsia="Times New Roman"/>
          <w:w w:val="95"/>
          <w:sz w:val="32"/>
        </w:rPr>
        <w:t>:</w:t>
      </w:r>
      <w:r>
        <w:rPr>
          <w:spacing w:val="-9"/>
          <w:w w:val="95"/>
          <w:sz w:val="32"/>
        </w:rPr>
        <w:t xml:space="preserve">是部门为保障其机构正常运转、行使单位职 </w:t>
      </w:r>
      <w:r>
        <w:rPr>
          <w:spacing w:val="-11"/>
          <w:w w:val="95"/>
          <w:sz w:val="32"/>
        </w:rPr>
        <w:t xml:space="preserve">能、完成日常工作任务而编制的年度基本支出计划，内容包括人 </w:t>
      </w:r>
      <w:r>
        <w:rPr>
          <w:spacing w:val="-11"/>
          <w:sz w:val="32"/>
        </w:rPr>
        <w:t>员经费支出和日常公用经费支出两部分。</w:t>
      </w:r>
    </w:p>
    <w:p>
      <w:pPr>
        <w:pStyle w:val="8"/>
        <w:numPr>
          <w:ilvl w:val="0"/>
          <w:numId w:val="5"/>
        </w:numPr>
        <w:tabs>
          <w:tab w:val="left" w:pos="989"/>
        </w:tabs>
        <w:spacing w:before="194" w:after="0" w:line="328" w:lineRule="auto"/>
        <w:ind w:left="106" w:right="271" w:firstLine="640"/>
        <w:jc w:val="left"/>
        <w:rPr>
          <w:sz w:val="32"/>
        </w:rPr>
      </w:pPr>
      <w:r>
        <w:rPr>
          <w:spacing w:val="-5"/>
          <w:sz w:val="32"/>
        </w:rPr>
        <w:t>项目支出预算：是部门为完成其特定的行政工作任务或事业发展目标，在基本支出预算之外编制的年度项目支出计划。</w:t>
      </w:r>
    </w:p>
    <w:p>
      <w:pPr>
        <w:pStyle w:val="8"/>
        <w:numPr>
          <w:ilvl w:val="0"/>
          <w:numId w:val="5"/>
        </w:numPr>
        <w:tabs>
          <w:tab w:val="left" w:pos="989"/>
        </w:tabs>
        <w:spacing w:before="196" w:after="0" w:line="328" w:lineRule="auto"/>
        <w:ind w:left="106" w:right="273" w:firstLine="640"/>
        <w:jc w:val="left"/>
        <w:rPr>
          <w:sz w:val="32"/>
        </w:rPr>
      </w:pPr>
      <w:r>
        <w:rPr>
          <w:rFonts w:ascii="Times New Roman" w:hAnsi="Times New Roman" w:eastAsia="Times New Roman"/>
          <w:sz w:val="32"/>
        </w:rPr>
        <w:t>“</w:t>
      </w:r>
      <w:r>
        <w:rPr>
          <w:sz w:val="32"/>
        </w:rPr>
        <w:t>三公</w:t>
      </w:r>
      <w:r>
        <w:rPr>
          <w:rFonts w:ascii="Times New Roman" w:hAnsi="Times New Roman" w:eastAsia="Times New Roman"/>
          <w:sz w:val="32"/>
        </w:rPr>
        <w:t>”</w:t>
      </w:r>
      <w:r>
        <w:rPr>
          <w:sz w:val="32"/>
        </w:rPr>
        <w:t>经费包括因公出国（境）费、公务用车购置及运行</w:t>
      </w:r>
      <w:r>
        <w:rPr>
          <w:spacing w:val="-7"/>
          <w:w w:val="95"/>
          <w:sz w:val="32"/>
        </w:rPr>
        <w:t>费和公务接待费：因公出国</w:t>
      </w:r>
      <w:r>
        <w:rPr>
          <w:w w:val="95"/>
          <w:sz w:val="32"/>
        </w:rPr>
        <w:t>（境</w:t>
      </w:r>
      <w:r>
        <w:rPr>
          <w:spacing w:val="-29"/>
          <w:w w:val="95"/>
          <w:sz w:val="32"/>
        </w:rPr>
        <w:t>）</w:t>
      </w:r>
      <w:r>
        <w:rPr>
          <w:spacing w:val="-6"/>
          <w:w w:val="95"/>
          <w:sz w:val="32"/>
        </w:rPr>
        <w:t>费，指单位工作人员公务出国</w:t>
      </w:r>
    </w:p>
    <w:p>
      <w:pPr>
        <w:pStyle w:val="4"/>
        <w:spacing w:line="328" w:lineRule="auto"/>
        <w:ind w:left="106" w:right="114"/>
      </w:pPr>
      <w:r>
        <w:t>（境</w:t>
      </w:r>
      <w:r>
        <w:rPr>
          <w:spacing w:val="-19"/>
        </w:rPr>
        <w:t>）</w:t>
      </w:r>
      <w:r>
        <w:rPr>
          <w:spacing w:val="-9"/>
        </w:rPr>
        <w:t>的住宿费、旅费、伙食补助费、杂费、培训费等支出。公</w:t>
      </w:r>
      <w:r>
        <w:rPr>
          <w:spacing w:val="-20"/>
          <w:w w:val="95"/>
        </w:rPr>
        <w:t xml:space="preserve">务用车购置及运行费，指单位公务用车购置费及租用费、燃料费、 </w:t>
      </w:r>
      <w:r>
        <w:rPr>
          <w:spacing w:val="-15"/>
        </w:rPr>
        <w:t>维修费、过路过桥费、保险费、安全奖励费用等支出，公务用车</w:t>
      </w:r>
      <w:r>
        <w:rPr>
          <w:spacing w:val="-18"/>
        </w:rPr>
        <w:t>指用于履行公务的机动车辆，包括领导干部专车、一般公务用车</w:t>
      </w:r>
      <w:r>
        <w:rPr>
          <w:spacing w:val="-16"/>
        </w:rPr>
        <w:t>和执法执勤用车。公务接待费，指单位按规定开支的各类公务接待（含外宾接待）支出。</w:t>
      </w:r>
    </w:p>
    <w:p>
      <w:pPr>
        <w:pStyle w:val="4"/>
        <w:spacing w:before="187"/>
        <w:ind w:left="747"/>
      </w:pPr>
      <w:r>
        <w:t>（二）机关运行经费安排变化情况及原因说明</w:t>
      </w:r>
    </w:p>
    <w:p>
      <w:pPr>
        <w:pStyle w:val="4"/>
        <w:spacing w:before="5"/>
        <w:rPr>
          <w:sz w:val="27"/>
        </w:rPr>
      </w:pPr>
    </w:p>
    <w:p>
      <w:pPr>
        <w:pStyle w:val="4"/>
        <w:ind w:left="706"/>
      </w:pPr>
      <w:r>
        <w:rPr>
          <w:spacing w:val="10"/>
        </w:rPr>
        <w:t xml:space="preserve">昆明市呈贡区人民政府办公室 </w:t>
      </w:r>
      <w:r>
        <w:rPr>
          <w:rFonts w:ascii="Times New Roman" w:eastAsia="Times New Roman"/>
        </w:rPr>
        <w:t>2023</w:t>
      </w:r>
      <w:r>
        <w:rPr>
          <w:rFonts w:ascii="Times New Roman" w:eastAsia="Times New Roman"/>
          <w:spacing w:val="7"/>
        </w:rPr>
        <w:t xml:space="preserve"> </w:t>
      </w:r>
      <w:r>
        <w:rPr>
          <w:spacing w:val="16"/>
        </w:rPr>
        <w:t>年机关运行经费安排</w:t>
      </w:r>
    </w:p>
    <w:p>
      <w:pPr>
        <w:pStyle w:val="4"/>
        <w:spacing w:before="149" w:line="328" w:lineRule="auto"/>
        <w:ind w:left="106" w:right="273"/>
      </w:pPr>
      <w:r>
        <w:rPr>
          <w:rFonts w:ascii="Times New Roman" w:eastAsia="Times New Roman"/>
        </w:rPr>
        <w:t>111</w:t>
      </w:r>
      <w:r>
        <w:rPr>
          <w:rFonts w:ascii="Calibri" w:eastAsia="Calibri"/>
        </w:rPr>
        <w:t>.</w:t>
      </w:r>
      <w:r>
        <w:rPr>
          <w:rFonts w:ascii="Times New Roman" w:eastAsia="Times New Roman"/>
        </w:rPr>
        <w:t>97</w:t>
      </w:r>
      <w:r>
        <w:rPr>
          <w:rFonts w:ascii="Times New Roman" w:eastAsia="Times New Roman"/>
          <w:spacing w:val="-7"/>
        </w:rPr>
        <w:t xml:space="preserve"> </w:t>
      </w:r>
      <w:r>
        <w:rPr>
          <w:spacing w:val="-12"/>
        </w:rPr>
        <w:t xml:space="preserve">万元，与上年对比减少 </w:t>
      </w:r>
      <w:r>
        <w:rPr>
          <w:rFonts w:ascii="Times New Roman" w:eastAsia="Times New Roman"/>
        </w:rPr>
        <w:t>82.24</w:t>
      </w:r>
      <w:r>
        <w:rPr>
          <w:rFonts w:ascii="Times New Roman" w:eastAsia="Times New Roman"/>
          <w:spacing w:val="-4"/>
        </w:rPr>
        <w:t xml:space="preserve"> </w:t>
      </w:r>
      <w:r>
        <w:rPr>
          <w:spacing w:val="-4"/>
        </w:rPr>
        <w:t>万元，主要原因是辅岗人员</w:t>
      </w:r>
      <w:r>
        <w:rPr>
          <w:spacing w:val="-13"/>
          <w:w w:val="95"/>
        </w:rPr>
        <w:t>工资本年预算时归入人员经费</w:t>
      </w:r>
      <w:r>
        <w:rPr>
          <w:w w:val="95"/>
        </w:rPr>
        <w:t>（部门经济科目为其他工资福利支</w:t>
      </w:r>
    </w:p>
    <w:p>
      <w:pPr>
        <w:spacing w:after="0" w:line="328" w:lineRule="auto"/>
        <w:sectPr>
          <w:pgSz w:w="11910" w:h="16840"/>
          <w:pgMar w:top="1580" w:right="1200" w:bottom="1400" w:left="1480" w:header="0" w:footer="1204" w:gutter="0"/>
        </w:sectPr>
      </w:pPr>
    </w:p>
    <w:p>
      <w:pPr>
        <w:pStyle w:val="4"/>
        <w:rPr>
          <w:sz w:val="20"/>
        </w:rPr>
      </w:pPr>
    </w:p>
    <w:p>
      <w:pPr>
        <w:pStyle w:val="4"/>
        <w:spacing w:before="11"/>
        <w:rPr>
          <w:sz w:val="24"/>
        </w:rPr>
      </w:pPr>
    </w:p>
    <w:p>
      <w:pPr>
        <w:pStyle w:val="4"/>
        <w:spacing w:before="54" w:line="326" w:lineRule="auto"/>
        <w:ind w:left="106" w:right="158"/>
      </w:pPr>
      <w:r>
        <w:t>出），上年归为临聘经费（该经费为日常公用经费，部门经济科目为劳务费），所以相应的机关运行经费减少，人员经费增加。</w:t>
      </w:r>
    </w:p>
    <w:p>
      <w:pPr>
        <w:pStyle w:val="4"/>
        <w:spacing w:before="205"/>
        <w:ind w:left="747"/>
      </w:pPr>
      <w:r>
        <w:t>（三）国有资产占有使用情况</w:t>
      </w:r>
    </w:p>
    <w:p>
      <w:pPr>
        <w:pStyle w:val="4"/>
        <w:spacing w:before="2"/>
        <w:rPr>
          <w:sz w:val="27"/>
        </w:rPr>
      </w:pPr>
    </w:p>
    <w:p>
      <w:pPr>
        <w:pStyle w:val="4"/>
        <w:spacing w:before="1"/>
        <w:ind w:right="273"/>
        <w:jc w:val="right"/>
      </w:pPr>
      <w:r>
        <w:rPr>
          <w:spacing w:val="-26"/>
        </w:rPr>
        <w:t xml:space="preserve">截至 </w:t>
      </w:r>
      <w:r>
        <w:rPr>
          <w:rFonts w:ascii="Times New Roman" w:eastAsia="Times New Roman"/>
        </w:rPr>
        <w:t>2022</w:t>
      </w:r>
      <w:r>
        <w:rPr>
          <w:rFonts w:ascii="Times New Roman" w:eastAsia="Times New Roman"/>
          <w:spacing w:val="2"/>
        </w:rPr>
        <w:t xml:space="preserve"> </w:t>
      </w:r>
      <w:r>
        <w:rPr>
          <w:spacing w:val="-40"/>
        </w:rPr>
        <w:t xml:space="preserve">年 </w:t>
      </w:r>
      <w:r>
        <w:rPr>
          <w:rFonts w:ascii="Times New Roman" w:eastAsia="Times New Roman"/>
        </w:rPr>
        <w:t>12</w:t>
      </w:r>
      <w:r>
        <w:rPr>
          <w:rFonts w:ascii="Times New Roman" w:eastAsia="Times New Roman"/>
          <w:spacing w:val="-1"/>
        </w:rPr>
        <w:t xml:space="preserve"> </w:t>
      </w:r>
      <w:r>
        <w:rPr>
          <w:spacing w:val="-39"/>
        </w:rPr>
        <w:t xml:space="preserve">月 </w:t>
      </w:r>
      <w:r>
        <w:rPr>
          <w:rFonts w:ascii="Times New Roman" w:eastAsia="Times New Roman"/>
        </w:rPr>
        <w:t>31</w:t>
      </w:r>
      <w:r>
        <w:rPr>
          <w:rFonts w:ascii="Times New Roman" w:eastAsia="Times New Roman"/>
          <w:spacing w:val="-1"/>
        </w:rPr>
        <w:t xml:space="preserve"> </w:t>
      </w:r>
      <w:r>
        <w:rPr>
          <w:spacing w:val="3"/>
        </w:rPr>
        <w:t>日，昆明市呈贡区人民政府办公室资</w:t>
      </w:r>
    </w:p>
    <w:p>
      <w:pPr>
        <w:pStyle w:val="4"/>
        <w:spacing w:before="151"/>
        <w:ind w:right="272"/>
        <w:jc w:val="right"/>
        <w:rPr>
          <w:rFonts w:ascii="Times New Roman" w:eastAsia="Times New Roman"/>
        </w:rPr>
      </w:pPr>
      <w:r>
        <w:rPr>
          <w:spacing w:val="-21"/>
        </w:rPr>
        <w:t xml:space="preserve">产总额 </w:t>
      </w:r>
      <w:r>
        <w:rPr>
          <w:rFonts w:ascii="Times New Roman" w:eastAsia="Times New Roman"/>
        </w:rPr>
        <w:t>190</w:t>
      </w:r>
      <w:r>
        <w:rPr>
          <w:rFonts w:ascii="Calibri" w:eastAsia="Calibri"/>
        </w:rPr>
        <w:t>.</w:t>
      </w:r>
      <w:r>
        <w:rPr>
          <w:rFonts w:ascii="Times New Roman" w:eastAsia="Times New Roman"/>
        </w:rPr>
        <w:t>99</w:t>
      </w:r>
      <w:r>
        <w:rPr>
          <w:rFonts w:ascii="Times New Roman" w:eastAsia="Times New Roman"/>
          <w:spacing w:val="-4"/>
        </w:rPr>
        <w:t xml:space="preserve"> </w:t>
      </w:r>
      <w:r>
        <w:rPr>
          <w:spacing w:val="-35"/>
        </w:rPr>
        <w:t xml:space="preserve">万元，其中，流动资产 </w:t>
      </w:r>
      <w:r>
        <w:rPr>
          <w:rFonts w:ascii="Times New Roman" w:eastAsia="Times New Roman"/>
        </w:rPr>
        <w:t>56</w:t>
      </w:r>
      <w:r>
        <w:rPr>
          <w:rFonts w:ascii="Calibri" w:eastAsia="Calibri"/>
        </w:rPr>
        <w:t>.</w:t>
      </w:r>
      <w:r>
        <w:rPr>
          <w:rFonts w:ascii="Times New Roman" w:eastAsia="Times New Roman"/>
        </w:rPr>
        <w:t>86</w:t>
      </w:r>
      <w:r>
        <w:rPr>
          <w:rFonts w:ascii="Times New Roman" w:eastAsia="Times New Roman"/>
          <w:spacing w:val="-4"/>
        </w:rPr>
        <w:t xml:space="preserve"> </w:t>
      </w:r>
      <w:r>
        <w:rPr>
          <w:spacing w:val="-30"/>
        </w:rPr>
        <w:t xml:space="preserve">万元，固定资产 </w:t>
      </w:r>
      <w:r>
        <w:rPr>
          <w:rFonts w:ascii="Times New Roman" w:eastAsia="Times New Roman"/>
        </w:rPr>
        <w:t>133.58</w:t>
      </w:r>
    </w:p>
    <w:p>
      <w:pPr>
        <w:pStyle w:val="4"/>
        <w:spacing w:before="149"/>
        <w:ind w:right="273"/>
        <w:jc w:val="right"/>
      </w:pPr>
      <w:r>
        <w:rPr>
          <w:spacing w:val="-12"/>
        </w:rPr>
        <w:t xml:space="preserve">万元，对外投资及有价证券 </w:t>
      </w:r>
      <w:r>
        <w:rPr>
          <w:rFonts w:ascii="Times New Roman" w:eastAsia="Times New Roman"/>
        </w:rPr>
        <w:t>0</w:t>
      </w:r>
      <w:r>
        <w:rPr>
          <w:rFonts w:ascii="Times New Roman" w:eastAsia="Times New Roman"/>
          <w:spacing w:val="-3"/>
        </w:rPr>
        <w:t xml:space="preserve"> </w:t>
      </w:r>
      <w:r>
        <w:rPr>
          <w:spacing w:val="-16"/>
        </w:rPr>
        <w:t xml:space="preserve">万元，在建工程 </w:t>
      </w:r>
      <w:r>
        <w:rPr>
          <w:rFonts w:ascii="Times New Roman" w:eastAsia="Times New Roman"/>
        </w:rPr>
        <w:t>0</w:t>
      </w:r>
      <w:r>
        <w:rPr>
          <w:rFonts w:ascii="Times New Roman" w:eastAsia="Times New Roman"/>
          <w:spacing w:val="-2"/>
        </w:rPr>
        <w:t xml:space="preserve"> </w:t>
      </w:r>
      <w:r>
        <w:rPr>
          <w:spacing w:val="-6"/>
        </w:rPr>
        <w:t>万元，无形资产</w:t>
      </w:r>
    </w:p>
    <w:p>
      <w:pPr>
        <w:pStyle w:val="4"/>
        <w:spacing w:before="150"/>
        <w:ind w:left="106"/>
      </w:pPr>
      <w:r>
        <w:rPr>
          <w:rFonts w:ascii="Times New Roman" w:eastAsia="Times New Roman"/>
        </w:rPr>
        <w:t>0.55</w:t>
      </w:r>
      <w:r>
        <w:rPr>
          <w:rFonts w:ascii="Times New Roman" w:eastAsia="Times New Roman"/>
          <w:spacing w:val="-2"/>
        </w:rPr>
        <w:t xml:space="preserve"> </w:t>
      </w:r>
      <w:r>
        <w:rPr>
          <w:spacing w:val="-5"/>
        </w:rPr>
        <w:t xml:space="preserve">万元，其他资产 </w:t>
      </w:r>
      <w:r>
        <w:rPr>
          <w:rFonts w:ascii="Times New Roman" w:eastAsia="Times New Roman"/>
        </w:rPr>
        <w:t>0</w:t>
      </w:r>
      <w:r>
        <w:rPr>
          <w:rFonts w:ascii="Times New Roman" w:eastAsia="Times New Roman"/>
          <w:spacing w:val="-2"/>
        </w:rPr>
        <w:t xml:space="preserve"> </w:t>
      </w:r>
      <w:r>
        <w:rPr>
          <w:spacing w:val="6"/>
        </w:rPr>
        <w:t>万元。与上年相比，本年资产总额增加</w:t>
      </w:r>
    </w:p>
    <w:p>
      <w:pPr>
        <w:pStyle w:val="4"/>
        <w:spacing w:before="151" w:line="328" w:lineRule="auto"/>
        <w:ind w:left="106" w:right="114"/>
      </w:pPr>
      <w:r>
        <w:rPr>
          <w:rFonts w:ascii="Times New Roman" w:eastAsia="Times New Roman"/>
        </w:rPr>
        <w:t>23</w:t>
      </w:r>
      <w:r>
        <w:rPr>
          <w:rFonts w:ascii="Calibri" w:eastAsia="Calibri"/>
        </w:rPr>
        <w:t>.</w:t>
      </w:r>
      <w:r>
        <w:rPr>
          <w:rFonts w:ascii="Times New Roman" w:eastAsia="Times New Roman"/>
        </w:rPr>
        <w:t xml:space="preserve">59 </w:t>
      </w:r>
      <w:r>
        <w:rPr>
          <w:spacing w:val="-11"/>
        </w:rPr>
        <w:t xml:space="preserve">万元，其中固定资产增加 </w:t>
      </w:r>
      <w:r>
        <w:rPr>
          <w:rFonts w:ascii="Times New Roman" w:eastAsia="Times New Roman"/>
        </w:rPr>
        <w:t>13</w:t>
      </w:r>
      <w:r>
        <w:rPr>
          <w:rFonts w:ascii="Calibri" w:eastAsia="Calibri"/>
        </w:rPr>
        <w:t>.</w:t>
      </w:r>
      <w:r>
        <w:rPr>
          <w:rFonts w:ascii="Times New Roman" w:eastAsia="Times New Roman"/>
        </w:rPr>
        <w:t xml:space="preserve">9 </w:t>
      </w:r>
      <w:r>
        <w:rPr>
          <w:spacing w:val="-12"/>
        </w:rPr>
        <w:t xml:space="preserve">万元。处置房屋建筑物 </w:t>
      </w:r>
      <w:r>
        <w:rPr>
          <w:rFonts w:ascii="Times New Roman" w:eastAsia="Times New Roman"/>
        </w:rPr>
        <w:t xml:space="preserve">0 </w:t>
      </w:r>
      <w:r>
        <w:t>平</w:t>
      </w:r>
      <w:r>
        <w:rPr>
          <w:spacing w:val="-16"/>
        </w:rPr>
        <w:t xml:space="preserve">方米，账面原值 </w:t>
      </w:r>
      <w:r>
        <w:rPr>
          <w:rFonts w:ascii="Times New Roman" w:eastAsia="Times New Roman"/>
        </w:rPr>
        <w:t xml:space="preserve">0 </w:t>
      </w:r>
      <w:r>
        <w:rPr>
          <w:spacing w:val="-15"/>
        </w:rPr>
        <w:t xml:space="preserve">万元；处置车辆 </w:t>
      </w:r>
      <w:r>
        <w:rPr>
          <w:rFonts w:ascii="Times New Roman" w:eastAsia="Times New Roman"/>
        </w:rPr>
        <w:t xml:space="preserve">0 </w:t>
      </w:r>
      <w:r>
        <w:rPr>
          <w:spacing w:val="-17"/>
        </w:rPr>
        <w:t xml:space="preserve">辆，账面原值 </w:t>
      </w:r>
      <w:r>
        <w:rPr>
          <w:rFonts w:ascii="Times New Roman" w:eastAsia="Times New Roman"/>
        </w:rPr>
        <w:t xml:space="preserve">0 </w:t>
      </w:r>
      <w:r>
        <w:rPr>
          <w:spacing w:val="-6"/>
        </w:rPr>
        <w:t>万元；报废</w:t>
      </w:r>
      <w:r>
        <w:rPr>
          <w:spacing w:val="-21"/>
        </w:rPr>
        <w:t xml:space="preserve">报损资产 </w:t>
      </w:r>
      <w:r>
        <w:rPr>
          <w:rFonts w:ascii="Times New Roman" w:eastAsia="Times New Roman"/>
        </w:rPr>
        <w:t xml:space="preserve">0 </w:t>
      </w:r>
      <w:r>
        <w:rPr>
          <w:spacing w:val="-19"/>
        </w:rPr>
        <w:t xml:space="preserve">项，账面原值 </w:t>
      </w:r>
      <w:r>
        <w:rPr>
          <w:rFonts w:ascii="Times New Roman" w:eastAsia="Times New Roman"/>
        </w:rPr>
        <w:t xml:space="preserve">0 </w:t>
      </w:r>
      <w:r>
        <w:rPr>
          <w:spacing w:val="-13"/>
        </w:rPr>
        <w:t xml:space="preserve">万元，实现资产处置收入 </w:t>
      </w:r>
      <w:r>
        <w:rPr>
          <w:rFonts w:ascii="Times New Roman" w:eastAsia="Times New Roman"/>
        </w:rPr>
        <w:t xml:space="preserve">0 </w:t>
      </w:r>
      <w:r>
        <w:rPr>
          <w:spacing w:val="-10"/>
        </w:rPr>
        <w:t>万元；资</w:t>
      </w:r>
      <w:r>
        <w:rPr>
          <w:spacing w:val="-22"/>
        </w:rPr>
        <w:t xml:space="preserve">产使用收入 </w:t>
      </w:r>
      <w:r>
        <w:rPr>
          <w:rFonts w:ascii="Times New Roman" w:eastAsia="Times New Roman"/>
        </w:rPr>
        <w:t xml:space="preserve">0 </w:t>
      </w:r>
      <w:r>
        <w:rPr>
          <w:spacing w:val="-16"/>
        </w:rPr>
        <w:t xml:space="preserve">万元，其中出租资产 </w:t>
      </w:r>
      <w:r>
        <w:rPr>
          <w:rFonts w:ascii="Times New Roman" w:eastAsia="Times New Roman"/>
        </w:rPr>
        <w:t xml:space="preserve">0 </w:t>
      </w:r>
      <w:r>
        <w:rPr>
          <w:spacing w:val="-15"/>
        </w:rPr>
        <w:t xml:space="preserve">平方米，资产出租收入 </w:t>
      </w:r>
      <w:r>
        <w:rPr>
          <w:rFonts w:ascii="Times New Roman" w:eastAsia="Times New Roman"/>
        </w:rPr>
        <w:t xml:space="preserve">0 </w:t>
      </w:r>
      <w:r>
        <w:t>万</w:t>
      </w:r>
      <w:r>
        <w:rPr>
          <w:spacing w:val="-29"/>
        </w:rPr>
        <w:t xml:space="preserve">元。鉴于截至 </w:t>
      </w:r>
      <w:r>
        <w:rPr>
          <w:rFonts w:ascii="Times New Roman" w:eastAsia="Times New Roman"/>
        </w:rPr>
        <w:t xml:space="preserve">2022 </w:t>
      </w:r>
      <w:r>
        <w:rPr>
          <w:spacing w:val="-42"/>
        </w:rPr>
        <w:t xml:space="preserve">年 </w:t>
      </w:r>
      <w:r>
        <w:rPr>
          <w:rFonts w:ascii="Times New Roman" w:eastAsia="Times New Roman"/>
        </w:rPr>
        <w:t xml:space="preserve">12 </w:t>
      </w:r>
      <w:r>
        <w:rPr>
          <w:spacing w:val="-40"/>
        </w:rPr>
        <w:t xml:space="preserve">月 </w:t>
      </w:r>
      <w:r>
        <w:rPr>
          <w:rFonts w:ascii="Times New Roman" w:eastAsia="Times New Roman"/>
        </w:rPr>
        <w:t xml:space="preserve">31 </w:t>
      </w:r>
      <w:r>
        <w:t xml:space="preserve">日的国有资产占有使用精准数据， </w:t>
      </w:r>
      <w:r>
        <w:rPr>
          <w:spacing w:val="-17"/>
        </w:rPr>
        <w:t xml:space="preserve">需在完成 </w:t>
      </w:r>
      <w:r>
        <w:rPr>
          <w:rFonts w:ascii="Times New Roman" w:eastAsia="Times New Roman"/>
        </w:rPr>
        <w:t xml:space="preserve">2022 </w:t>
      </w:r>
      <w:r>
        <w:rPr>
          <w:spacing w:val="-16"/>
        </w:rPr>
        <w:t xml:space="preserve">年决算编制后才能汇总，此处公开为 </w:t>
      </w:r>
      <w:r>
        <w:rPr>
          <w:rFonts w:ascii="Times New Roman" w:eastAsia="Times New Roman"/>
        </w:rPr>
        <w:t xml:space="preserve">2023 </w:t>
      </w:r>
      <w:r>
        <w:rPr>
          <w:spacing w:val="-41"/>
        </w:rPr>
        <w:t xml:space="preserve">年 </w:t>
      </w:r>
      <w:r>
        <w:rPr>
          <w:rFonts w:ascii="Times New Roman" w:eastAsia="Times New Roman"/>
        </w:rPr>
        <w:t xml:space="preserve">1 </w:t>
      </w:r>
      <w:r>
        <w:t>月上报资产月报数据。</w:t>
      </w:r>
    </w:p>
    <w:p>
      <w:pPr>
        <w:pStyle w:val="4"/>
      </w:pPr>
    </w:p>
    <w:p>
      <w:pPr>
        <w:pStyle w:val="4"/>
      </w:pPr>
    </w:p>
    <w:p>
      <w:pPr>
        <w:pStyle w:val="4"/>
      </w:pPr>
    </w:p>
    <w:p>
      <w:pPr>
        <w:pStyle w:val="4"/>
        <w:spacing w:before="6"/>
        <w:rPr>
          <w:sz w:val="38"/>
        </w:rPr>
      </w:pPr>
    </w:p>
    <w:p>
      <w:pPr>
        <w:pStyle w:val="3"/>
      </w:pPr>
      <w:r>
        <w:rPr>
          <w:rFonts w:hint="eastAsia" w:ascii="宋体" w:eastAsia="宋体"/>
        </w:rPr>
        <w:t xml:space="preserve">监督索引号 </w:t>
      </w:r>
      <w:r>
        <w:t>53011400171500111</w:t>
      </w:r>
    </w:p>
    <w:sectPr>
      <w:pgSz w:w="11910" w:h="16840"/>
      <w:pgMar w:top="1580" w:right="1200" w:bottom="1400" w:left="1480" w:header="0" w:footer="120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49" o:spid="_x0000_s2049" o:spt="202" type="#_x0000_t202" style="position:absolute;left:0pt;margin-left:275pt;margin-top:770.65pt;height:16.05pt;width:51pt;mso-position-horizontal-relative:page;mso-position-vertical-relative:page;z-index:-252010496;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w:t>
                </w:r>
                <w:r>
                  <w:fldChar w:fldCharType="end"/>
                </w:r>
                <w:r>
                  <w:rPr>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0" o:spid="_x0000_s2050" o:spt="202" type="#_x0000_t202" style="position:absolute;left:0pt;margin-left:271.35pt;margin-top:770.65pt;height:16.05pt;width:58.05pt;mso-position-horizontal-relative:page;mso-position-vertical-relative:page;z-index:-252009472;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decimal"/>
      <w:lvlText w:val="%1."/>
      <w:lvlJc w:val="left"/>
      <w:pPr>
        <w:ind w:left="106" w:hanging="242"/>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012" w:hanging="242"/>
      </w:pPr>
      <w:rPr>
        <w:rFonts w:hint="default"/>
        <w:lang w:val="zh-CN" w:eastAsia="zh-CN" w:bidi="zh-CN"/>
      </w:rPr>
    </w:lvl>
    <w:lvl w:ilvl="2" w:tentative="0">
      <w:start w:val="0"/>
      <w:numFmt w:val="bullet"/>
      <w:lvlText w:val="•"/>
      <w:lvlJc w:val="left"/>
      <w:pPr>
        <w:ind w:left="1925" w:hanging="242"/>
      </w:pPr>
      <w:rPr>
        <w:rFonts w:hint="default"/>
        <w:lang w:val="zh-CN" w:eastAsia="zh-CN" w:bidi="zh-CN"/>
      </w:rPr>
    </w:lvl>
    <w:lvl w:ilvl="3" w:tentative="0">
      <w:start w:val="0"/>
      <w:numFmt w:val="bullet"/>
      <w:lvlText w:val="•"/>
      <w:lvlJc w:val="left"/>
      <w:pPr>
        <w:ind w:left="2837" w:hanging="242"/>
      </w:pPr>
      <w:rPr>
        <w:rFonts w:hint="default"/>
        <w:lang w:val="zh-CN" w:eastAsia="zh-CN" w:bidi="zh-CN"/>
      </w:rPr>
    </w:lvl>
    <w:lvl w:ilvl="4" w:tentative="0">
      <w:start w:val="0"/>
      <w:numFmt w:val="bullet"/>
      <w:lvlText w:val="•"/>
      <w:lvlJc w:val="left"/>
      <w:pPr>
        <w:ind w:left="3750" w:hanging="242"/>
      </w:pPr>
      <w:rPr>
        <w:rFonts w:hint="default"/>
        <w:lang w:val="zh-CN" w:eastAsia="zh-CN" w:bidi="zh-CN"/>
      </w:rPr>
    </w:lvl>
    <w:lvl w:ilvl="5" w:tentative="0">
      <w:start w:val="0"/>
      <w:numFmt w:val="bullet"/>
      <w:lvlText w:val="•"/>
      <w:lvlJc w:val="left"/>
      <w:pPr>
        <w:ind w:left="4663" w:hanging="242"/>
      </w:pPr>
      <w:rPr>
        <w:rFonts w:hint="default"/>
        <w:lang w:val="zh-CN" w:eastAsia="zh-CN" w:bidi="zh-CN"/>
      </w:rPr>
    </w:lvl>
    <w:lvl w:ilvl="6" w:tentative="0">
      <w:start w:val="0"/>
      <w:numFmt w:val="bullet"/>
      <w:lvlText w:val="•"/>
      <w:lvlJc w:val="left"/>
      <w:pPr>
        <w:ind w:left="5575" w:hanging="242"/>
      </w:pPr>
      <w:rPr>
        <w:rFonts w:hint="default"/>
        <w:lang w:val="zh-CN" w:eastAsia="zh-CN" w:bidi="zh-CN"/>
      </w:rPr>
    </w:lvl>
    <w:lvl w:ilvl="7" w:tentative="0">
      <w:start w:val="0"/>
      <w:numFmt w:val="bullet"/>
      <w:lvlText w:val="•"/>
      <w:lvlJc w:val="left"/>
      <w:pPr>
        <w:ind w:left="6488" w:hanging="242"/>
      </w:pPr>
      <w:rPr>
        <w:rFonts w:hint="default"/>
        <w:lang w:val="zh-CN" w:eastAsia="zh-CN" w:bidi="zh-CN"/>
      </w:rPr>
    </w:lvl>
    <w:lvl w:ilvl="8" w:tentative="0">
      <w:start w:val="0"/>
      <w:numFmt w:val="bullet"/>
      <w:lvlText w:val="•"/>
      <w:lvlJc w:val="left"/>
      <w:pPr>
        <w:ind w:left="7400" w:hanging="242"/>
      </w:pPr>
      <w:rPr>
        <w:rFonts w:hint="default"/>
        <w:lang w:val="zh-CN" w:eastAsia="zh-CN" w:bidi="zh-CN"/>
      </w:rPr>
    </w:lvl>
  </w:abstractNum>
  <w:abstractNum w:abstractNumId="1">
    <w:nsid w:val="BF205925"/>
    <w:multiLevelType w:val="multilevel"/>
    <w:tmpl w:val="BF205925"/>
    <w:lvl w:ilvl="0" w:tentative="0">
      <w:start w:val="37"/>
      <w:numFmt w:val="decimal"/>
      <w:lvlText w:val="%1"/>
      <w:lvlJc w:val="left"/>
      <w:pPr>
        <w:ind w:left="828" w:hanging="723"/>
        <w:jc w:val="left"/>
      </w:pPr>
      <w:rPr>
        <w:rFonts w:hint="default"/>
        <w:lang w:val="zh-CN" w:eastAsia="zh-CN" w:bidi="zh-CN"/>
      </w:rPr>
    </w:lvl>
    <w:lvl w:ilvl="1" w:tentative="0">
      <w:start w:val="49"/>
      <w:numFmt w:val="decimal"/>
      <w:lvlText w:val="%1.%2"/>
      <w:lvlJc w:val="left"/>
      <w:pPr>
        <w:ind w:left="828" w:hanging="723"/>
        <w:jc w:val="left"/>
      </w:pPr>
      <w:rPr>
        <w:rFonts w:hint="default" w:ascii="Times New Roman" w:hAnsi="Times New Roman" w:eastAsia="Times New Roman" w:cs="Times New Roman"/>
        <w:spacing w:val="-2"/>
        <w:w w:val="99"/>
        <w:sz w:val="30"/>
        <w:szCs w:val="30"/>
        <w:lang w:val="zh-CN" w:eastAsia="zh-CN" w:bidi="zh-CN"/>
      </w:rPr>
    </w:lvl>
    <w:lvl w:ilvl="2" w:tentative="0">
      <w:start w:val="1"/>
      <w:numFmt w:val="decimal"/>
      <w:lvlText w:val="%3."/>
      <w:lvlJc w:val="left"/>
      <w:pPr>
        <w:ind w:left="106" w:hanging="242"/>
        <w:jc w:val="left"/>
      </w:pPr>
      <w:rPr>
        <w:rFonts w:hint="default" w:ascii="Times New Roman" w:hAnsi="Times New Roman" w:eastAsia="Times New Roman" w:cs="Times New Roman"/>
        <w:spacing w:val="-1"/>
        <w:w w:val="99"/>
        <w:sz w:val="30"/>
        <w:szCs w:val="30"/>
        <w:lang w:val="zh-CN" w:eastAsia="zh-CN" w:bidi="zh-CN"/>
      </w:rPr>
    </w:lvl>
    <w:lvl w:ilvl="3" w:tentative="0">
      <w:start w:val="0"/>
      <w:numFmt w:val="bullet"/>
      <w:lvlText w:val="•"/>
      <w:lvlJc w:val="left"/>
      <w:pPr>
        <w:ind w:left="2688" w:hanging="242"/>
      </w:pPr>
      <w:rPr>
        <w:rFonts w:hint="default"/>
        <w:lang w:val="zh-CN" w:eastAsia="zh-CN" w:bidi="zh-CN"/>
      </w:rPr>
    </w:lvl>
    <w:lvl w:ilvl="4" w:tentative="0">
      <w:start w:val="0"/>
      <w:numFmt w:val="bullet"/>
      <w:lvlText w:val="•"/>
      <w:lvlJc w:val="left"/>
      <w:pPr>
        <w:ind w:left="3622" w:hanging="242"/>
      </w:pPr>
      <w:rPr>
        <w:rFonts w:hint="default"/>
        <w:lang w:val="zh-CN" w:eastAsia="zh-CN" w:bidi="zh-CN"/>
      </w:rPr>
    </w:lvl>
    <w:lvl w:ilvl="5" w:tentative="0">
      <w:start w:val="0"/>
      <w:numFmt w:val="bullet"/>
      <w:lvlText w:val="•"/>
      <w:lvlJc w:val="left"/>
      <w:pPr>
        <w:ind w:left="4556" w:hanging="242"/>
      </w:pPr>
      <w:rPr>
        <w:rFonts w:hint="default"/>
        <w:lang w:val="zh-CN" w:eastAsia="zh-CN" w:bidi="zh-CN"/>
      </w:rPr>
    </w:lvl>
    <w:lvl w:ilvl="6" w:tentative="0">
      <w:start w:val="0"/>
      <w:numFmt w:val="bullet"/>
      <w:lvlText w:val="•"/>
      <w:lvlJc w:val="left"/>
      <w:pPr>
        <w:ind w:left="5490" w:hanging="242"/>
      </w:pPr>
      <w:rPr>
        <w:rFonts w:hint="default"/>
        <w:lang w:val="zh-CN" w:eastAsia="zh-CN" w:bidi="zh-CN"/>
      </w:rPr>
    </w:lvl>
    <w:lvl w:ilvl="7" w:tentative="0">
      <w:start w:val="0"/>
      <w:numFmt w:val="bullet"/>
      <w:lvlText w:val="•"/>
      <w:lvlJc w:val="left"/>
      <w:pPr>
        <w:ind w:left="6424" w:hanging="242"/>
      </w:pPr>
      <w:rPr>
        <w:rFonts w:hint="default"/>
        <w:lang w:val="zh-CN" w:eastAsia="zh-CN" w:bidi="zh-CN"/>
      </w:rPr>
    </w:lvl>
    <w:lvl w:ilvl="8" w:tentative="0">
      <w:start w:val="0"/>
      <w:numFmt w:val="bullet"/>
      <w:lvlText w:val="•"/>
      <w:lvlJc w:val="left"/>
      <w:pPr>
        <w:ind w:left="7358" w:hanging="242"/>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106" w:hanging="242"/>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012" w:hanging="242"/>
      </w:pPr>
      <w:rPr>
        <w:rFonts w:hint="default"/>
        <w:lang w:val="zh-CN" w:eastAsia="zh-CN" w:bidi="zh-CN"/>
      </w:rPr>
    </w:lvl>
    <w:lvl w:ilvl="2" w:tentative="0">
      <w:start w:val="0"/>
      <w:numFmt w:val="bullet"/>
      <w:lvlText w:val="•"/>
      <w:lvlJc w:val="left"/>
      <w:pPr>
        <w:ind w:left="1925" w:hanging="242"/>
      </w:pPr>
      <w:rPr>
        <w:rFonts w:hint="default"/>
        <w:lang w:val="zh-CN" w:eastAsia="zh-CN" w:bidi="zh-CN"/>
      </w:rPr>
    </w:lvl>
    <w:lvl w:ilvl="3" w:tentative="0">
      <w:start w:val="0"/>
      <w:numFmt w:val="bullet"/>
      <w:lvlText w:val="•"/>
      <w:lvlJc w:val="left"/>
      <w:pPr>
        <w:ind w:left="2837" w:hanging="242"/>
      </w:pPr>
      <w:rPr>
        <w:rFonts w:hint="default"/>
        <w:lang w:val="zh-CN" w:eastAsia="zh-CN" w:bidi="zh-CN"/>
      </w:rPr>
    </w:lvl>
    <w:lvl w:ilvl="4" w:tentative="0">
      <w:start w:val="0"/>
      <w:numFmt w:val="bullet"/>
      <w:lvlText w:val="•"/>
      <w:lvlJc w:val="left"/>
      <w:pPr>
        <w:ind w:left="3750" w:hanging="242"/>
      </w:pPr>
      <w:rPr>
        <w:rFonts w:hint="default"/>
        <w:lang w:val="zh-CN" w:eastAsia="zh-CN" w:bidi="zh-CN"/>
      </w:rPr>
    </w:lvl>
    <w:lvl w:ilvl="5" w:tentative="0">
      <w:start w:val="0"/>
      <w:numFmt w:val="bullet"/>
      <w:lvlText w:val="•"/>
      <w:lvlJc w:val="left"/>
      <w:pPr>
        <w:ind w:left="4663" w:hanging="242"/>
      </w:pPr>
      <w:rPr>
        <w:rFonts w:hint="default"/>
        <w:lang w:val="zh-CN" w:eastAsia="zh-CN" w:bidi="zh-CN"/>
      </w:rPr>
    </w:lvl>
    <w:lvl w:ilvl="6" w:tentative="0">
      <w:start w:val="0"/>
      <w:numFmt w:val="bullet"/>
      <w:lvlText w:val="•"/>
      <w:lvlJc w:val="left"/>
      <w:pPr>
        <w:ind w:left="5575" w:hanging="242"/>
      </w:pPr>
      <w:rPr>
        <w:rFonts w:hint="default"/>
        <w:lang w:val="zh-CN" w:eastAsia="zh-CN" w:bidi="zh-CN"/>
      </w:rPr>
    </w:lvl>
    <w:lvl w:ilvl="7" w:tentative="0">
      <w:start w:val="0"/>
      <w:numFmt w:val="bullet"/>
      <w:lvlText w:val="•"/>
      <w:lvlJc w:val="left"/>
      <w:pPr>
        <w:ind w:left="6488" w:hanging="242"/>
      </w:pPr>
      <w:rPr>
        <w:rFonts w:hint="default"/>
        <w:lang w:val="zh-CN" w:eastAsia="zh-CN" w:bidi="zh-CN"/>
      </w:rPr>
    </w:lvl>
    <w:lvl w:ilvl="8" w:tentative="0">
      <w:start w:val="0"/>
      <w:numFmt w:val="bullet"/>
      <w:lvlText w:val="•"/>
      <w:lvlJc w:val="left"/>
      <w:pPr>
        <w:ind w:left="7400" w:hanging="242"/>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106" w:hanging="242"/>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012" w:hanging="242"/>
      </w:pPr>
      <w:rPr>
        <w:rFonts w:hint="default"/>
        <w:lang w:val="zh-CN" w:eastAsia="zh-CN" w:bidi="zh-CN"/>
      </w:rPr>
    </w:lvl>
    <w:lvl w:ilvl="2" w:tentative="0">
      <w:start w:val="0"/>
      <w:numFmt w:val="bullet"/>
      <w:lvlText w:val="•"/>
      <w:lvlJc w:val="left"/>
      <w:pPr>
        <w:ind w:left="1925" w:hanging="242"/>
      </w:pPr>
      <w:rPr>
        <w:rFonts w:hint="default"/>
        <w:lang w:val="zh-CN" w:eastAsia="zh-CN" w:bidi="zh-CN"/>
      </w:rPr>
    </w:lvl>
    <w:lvl w:ilvl="3" w:tentative="0">
      <w:start w:val="0"/>
      <w:numFmt w:val="bullet"/>
      <w:lvlText w:val="•"/>
      <w:lvlJc w:val="left"/>
      <w:pPr>
        <w:ind w:left="2837" w:hanging="242"/>
      </w:pPr>
      <w:rPr>
        <w:rFonts w:hint="default"/>
        <w:lang w:val="zh-CN" w:eastAsia="zh-CN" w:bidi="zh-CN"/>
      </w:rPr>
    </w:lvl>
    <w:lvl w:ilvl="4" w:tentative="0">
      <w:start w:val="0"/>
      <w:numFmt w:val="bullet"/>
      <w:lvlText w:val="•"/>
      <w:lvlJc w:val="left"/>
      <w:pPr>
        <w:ind w:left="3750" w:hanging="242"/>
      </w:pPr>
      <w:rPr>
        <w:rFonts w:hint="default"/>
        <w:lang w:val="zh-CN" w:eastAsia="zh-CN" w:bidi="zh-CN"/>
      </w:rPr>
    </w:lvl>
    <w:lvl w:ilvl="5" w:tentative="0">
      <w:start w:val="0"/>
      <w:numFmt w:val="bullet"/>
      <w:lvlText w:val="•"/>
      <w:lvlJc w:val="left"/>
      <w:pPr>
        <w:ind w:left="4663" w:hanging="242"/>
      </w:pPr>
      <w:rPr>
        <w:rFonts w:hint="default"/>
        <w:lang w:val="zh-CN" w:eastAsia="zh-CN" w:bidi="zh-CN"/>
      </w:rPr>
    </w:lvl>
    <w:lvl w:ilvl="6" w:tentative="0">
      <w:start w:val="0"/>
      <w:numFmt w:val="bullet"/>
      <w:lvlText w:val="•"/>
      <w:lvlJc w:val="left"/>
      <w:pPr>
        <w:ind w:left="5575" w:hanging="242"/>
      </w:pPr>
      <w:rPr>
        <w:rFonts w:hint="default"/>
        <w:lang w:val="zh-CN" w:eastAsia="zh-CN" w:bidi="zh-CN"/>
      </w:rPr>
    </w:lvl>
    <w:lvl w:ilvl="7" w:tentative="0">
      <w:start w:val="0"/>
      <w:numFmt w:val="bullet"/>
      <w:lvlText w:val="•"/>
      <w:lvlJc w:val="left"/>
      <w:pPr>
        <w:ind w:left="6488" w:hanging="242"/>
      </w:pPr>
      <w:rPr>
        <w:rFonts w:hint="default"/>
        <w:lang w:val="zh-CN" w:eastAsia="zh-CN" w:bidi="zh-CN"/>
      </w:rPr>
    </w:lvl>
    <w:lvl w:ilvl="8" w:tentative="0">
      <w:start w:val="0"/>
      <w:numFmt w:val="bullet"/>
      <w:lvlText w:val="•"/>
      <w:lvlJc w:val="left"/>
      <w:pPr>
        <w:ind w:left="7400" w:hanging="242"/>
      </w:pPr>
      <w:rPr>
        <w:rFonts w:hint="default"/>
        <w:lang w:val="zh-CN" w:eastAsia="zh-CN" w:bidi="zh-CN"/>
      </w:rPr>
    </w:lvl>
  </w:abstractNum>
  <w:abstractNum w:abstractNumId="4">
    <w:nsid w:val="59ADCABA"/>
    <w:multiLevelType w:val="multilevel"/>
    <w:tmpl w:val="59ADCABA"/>
    <w:lvl w:ilvl="0" w:tentative="0">
      <w:start w:val="1"/>
      <w:numFmt w:val="decimal"/>
      <w:lvlText w:val="（%1）"/>
      <w:lvlJc w:val="left"/>
      <w:pPr>
        <w:ind w:left="106" w:hanging="800"/>
        <w:jc w:val="left"/>
      </w:pPr>
      <w:rPr>
        <w:rFonts w:hint="default" w:ascii="宋体" w:hAnsi="宋体" w:eastAsia="宋体" w:cs="宋体"/>
        <w:w w:val="99"/>
        <w:sz w:val="30"/>
        <w:szCs w:val="30"/>
        <w:lang w:val="zh-CN" w:eastAsia="zh-CN" w:bidi="zh-CN"/>
      </w:rPr>
    </w:lvl>
    <w:lvl w:ilvl="1" w:tentative="0">
      <w:start w:val="0"/>
      <w:numFmt w:val="bullet"/>
      <w:lvlText w:val="•"/>
      <w:lvlJc w:val="left"/>
      <w:pPr>
        <w:ind w:left="1012" w:hanging="800"/>
      </w:pPr>
      <w:rPr>
        <w:rFonts w:hint="default"/>
        <w:lang w:val="zh-CN" w:eastAsia="zh-CN" w:bidi="zh-CN"/>
      </w:rPr>
    </w:lvl>
    <w:lvl w:ilvl="2" w:tentative="0">
      <w:start w:val="0"/>
      <w:numFmt w:val="bullet"/>
      <w:lvlText w:val="•"/>
      <w:lvlJc w:val="left"/>
      <w:pPr>
        <w:ind w:left="1925" w:hanging="800"/>
      </w:pPr>
      <w:rPr>
        <w:rFonts w:hint="default"/>
        <w:lang w:val="zh-CN" w:eastAsia="zh-CN" w:bidi="zh-CN"/>
      </w:rPr>
    </w:lvl>
    <w:lvl w:ilvl="3" w:tentative="0">
      <w:start w:val="0"/>
      <w:numFmt w:val="bullet"/>
      <w:lvlText w:val="•"/>
      <w:lvlJc w:val="left"/>
      <w:pPr>
        <w:ind w:left="2837" w:hanging="800"/>
      </w:pPr>
      <w:rPr>
        <w:rFonts w:hint="default"/>
        <w:lang w:val="zh-CN" w:eastAsia="zh-CN" w:bidi="zh-CN"/>
      </w:rPr>
    </w:lvl>
    <w:lvl w:ilvl="4" w:tentative="0">
      <w:start w:val="0"/>
      <w:numFmt w:val="bullet"/>
      <w:lvlText w:val="•"/>
      <w:lvlJc w:val="left"/>
      <w:pPr>
        <w:ind w:left="3750" w:hanging="800"/>
      </w:pPr>
      <w:rPr>
        <w:rFonts w:hint="default"/>
        <w:lang w:val="zh-CN" w:eastAsia="zh-CN" w:bidi="zh-CN"/>
      </w:rPr>
    </w:lvl>
    <w:lvl w:ilvl="5" w:tentative="0">
      <w:start w:val="0"/>
      <w:numFmt w:val="bullet"/>
      <w:lvlText w:val="•"/>
      <w:lvlJc w:val="left"/>
      <w:pPr>
        <w:ind w:left="4663" w:hanging="800"/>
      </w:pPr>
      <w:rPr>
        <w:rFonts w:hint="default"/>
        <w:lang w:val="zh-CN" w:eastAsia="zh-CN" w:bidi="zh-CN"/>
      </w:rPr>
    </w:lvl>
    <w:lvl w:ilvl="6" w:tentative="0">
      <w:start w:val="0"/>
      <w:numFmt w:val="bullet"/>
      <w:lvlText w:val="•"/>
      <w:lvlJc w:val="left"/>
      <w:pPr>
        <w:ind w:left="5575" w:hanging="800"/>
      </w:pPr>
      <w:rPr>
        <w:rFonts w:hint="default"/>
        <w:lang w:val="zh-CN" w:eastAsia="zh-CN" w:bidi="zh-CN"/>
      </w:rPr>
    </w:lvl>
    <w:lvl w:ilvl="7" w:tentative="0">
      <w:start w:val="0"/>
      <w:numFmt w:val="bullet"/>
      <w:lvlText w:val="•"/>
      <w:lvlJc w:val="left"/>
      <w:pPr>
        <w:ind w:left="6488" w:hanging="800"/>
      </w:pPr>
      <w:rPr>
        <w:rFonts w:hint="default"/>
        <w:lang w:val="zh-CN" w:eastAsia="zh-CN" w:bidi="zh-CN"/>
      </w:rPr>
    </w:lvl>
    <w:lvl w:ilvl="8" w:tentative="0">
      <w:start w:val="0"/>
      <w:numFmt w:val="bullet"/>
      <w:lvlText w:val="•"/>
      <w:lvlJc w:val="left"/>
      <w:pPr>
        <w:ind w:left="7400" w:hanging="800"/>
      </w:pPr>
      <w:rPr>
        <w:rFonts w:hint="default"/>
        <w:lang w:val="zh-CN" w:eastAsia="zh-CN" w:bidi="zh-CN"/>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256D70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81"/>
      <w:ind w:left="2453"/>
      <w:outlineLvl w:val="1"/>
    </w:pPr>
    <w:rPr>
      <w:rFonts w:ascii="Times New Roman" w:hAnsi="Times New Roman" w:eastAsia="Times New Roman" w:cs="Times New Roman"/>
      <w:sz w:val="44"/>
      <w:szCs w:val="44"/>
      <w:lang w:val="zh-CN" w:eastAsia="zh-CN" w:bidi="zh-CN"/>
    </w:rPr>
  </w:style>
  <w:style w:type="paragraph" w:styleId="3">
    <w:name w:val="heading 2"/>
    <w:basedOn w:val="1"/>
    <w:next w:val="1"/>
    <w:qFormat/>
    <w:uiPriority w:val="1"/>
    <w:pPr>
      <w:spacing w:before="1"/>
      <w:ind w:left="106"/>
      <w:outlineLvl w:val="2"/>
    </w:pPr>
    <w:rPr>
      <w:rFonts w:ascii="Times New Roman" w:hAnsi="Times New Roman" w:eastAsia="Times New Roman" w:cs="Times New Roman"/>
      <w:b/>
      <w:bCs/>
      <w:sz w:val="36"/>
      <w:szCs w:val="36"/>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lang w:val="zh-CN" w:eastAsia="zh-CN" w:bidi="zh-CN"/>
    </w:r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pPr>
      <w:spacing w:before="64"/>
      <w:ind w:left="106" w:right="273" w:firstLine="640"/>
    </w:pPr>
    <w:rPr>
      <w:rFonts w:ascii="宋体" w:hAnsi="宋体" w:eastAsia="宋体" w:cs="宋体"/>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2024-01-08T02:54:00Z</dcterms:created>
  <dc:creator>NTKO</dc:creator>
  <cp:lastModifiedBy>Dell</cp:lastModifiedBy>
  <dcterms:modified xsi:type="dcterms:W3CDTF">2024-01-08T02:56:05Z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2023-10-31T00:00:00Z</vt:filetime>
  </property>
  <property fmtid="{D5CDD505-2E9C-101B-9397-08002B2CF9AE}" pid="3" name="Creator">
    <vt:lpwstr>WPS 文字</vt:lpwstr>
  </property>
  <property fmtid="{D5CDD505-2E9C-101B-9397-08002B2CF9AE}" pid="4" name="LastSaved">
    <vt:filetime>2024-01-08T00:00:00Z</vt:filetime>
  </property>
  <property fmtid="{D5CDD505-2E9C-101B-9397-08002B2CF9AE}" pid="5" name="KSOProductBuildVer">
    <vt:lpwstr>2052-11.8.6.8722</vt:lpwstr>
  </property>
</Properties>
</file>