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1" w:rsidRPr="003A71AB" w:rsidRDefault="007269C9">
      <w:pPr>
        <w:pStyle w:val="3"/>
        <w:widowControl/>
        <w:shd w:val="clear" w:color="auto" w:fill="FFFFFF"/>
        <w:spacing w:before="300" w:beforeAutospacing="0" w:after="300" w:afterAutospacing="0" w:line="750" w:lineRule="atLeast"/>
        <w:jc w:val="center"/>
        <w:rPr>
          <w:rFonts w:ascii="方正小标宋简体" w:eastAsia="方正小标宋简体" w:hAnsi="Segoe UI" w:cs="Segoe UI"/>
          <w:b w:val="0"/>
          <w:color w:val="000000" w:themeColor="text1"/>
          <w:sz w:val="44"/>
          <w:szCs w:val="44"/>
        </w:rPr>
      </w:pPr>
      <w:r w:rsidRPr="003A71AB">
        <w:rPr>
          <w:rFonts w:ascii="方正小标宋简体" w:eastAsia="方正小标宋简体" w:hAnsi="Segoe UI" w:cs="Segoe UI"/>
          <w:b w:val="0"/>
          <w:color w:val="000000" w:themeColor="text1"/>
          <w:sz w:val="44"/>
          <w:szCs w:val="44"/>
          <w:shd w:val="clear" w:color="auto" w:fill="FFFFFF"/>
        </w:rPr>
        <w:t>昆明市呈贡区2022年度“三公”经费决算情况</w:t>
      </w:r>
    </w:p>
    <w:p w:rsidR="007D78C1" w:rsidRPr="003A71AB" w:rsidRDefault="007269C9">
      <w:pPr>
        <w:widowControl/>
        <w:spacing w:beforeAutospacing="1" w:afterAutospacing="1"/>
        <w:ind w:firstLine="600"/>
        <w:jc w:val="left"/>
        <w:rPr>
          <w:rFonts w:ascii="Times New Roman" w:eastAsia="仿宋_GB2312" w:hAnsi="Times New Roman" w:cs="Times New Roman"/>
        </w:rPr>
      </w:pP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根据《预算法》及其实施条例、《财政部关于印发〈地方预决算公开操作规程〉的通知》（财预〔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2016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〕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143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号）和《中共云南省委办公厅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 xml:space="preserve"> 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云南省人民政府办公厅印发〈关于进一步推进预算公开工作的实施意见〉的通知》（云办发〔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2016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〕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29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号）等要求，呈贡区财政局对呈贡区部门上报的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2022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年度一般公共预算财政拨款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“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三公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”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经费决算进行汇总，现将呈贡区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2022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年度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“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三公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”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经费决算汇总情况公开如下：</w:t>
      </w:r>
    </w:p>
    <w:p w:rsidR="007D78C1" w:rsidRPr="003A71AB" w:rsidRDefault="007269C9">
      <w:pPr>
        <w:widowControl/>
        <w:spacing w:beforeAutospacing="1" w:afterAutospacing="1"/>
        <w:ind w:firstLine="600"/>
        <w:jc w:val="left"/>
        <w:rPr>
          <w:rFonts w:ascii="Times New Roman" w:eastAsia="仿宋_GB2312" w:hAnsi="Times New Roman" w:cs="Times New Roman"/>
        </w:rPr>
      </w:pP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2022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年度，呈贡区一般公共预算财政拨款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“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三公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”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经费支出决算汇总数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439.34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万元，完成年初预算数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979.32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万元的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44.86%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。主要是公务用车运行维护费和公务接待费完成率较低所致，较上年决算汇总数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630.79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万元减少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191.45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万元，减少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30.35%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。</w:t>
      </w:r>
    </w:p>
    <w:p w:rsidR="007D78C1" w:rsidRPr="003A71AB" w:rsidRDefault="007269C9">
      <w:pPr>
        <w:widowControl/>
        <w:spacing w:beforeAutospacing="1" w:afterAutospacing="1"/>
        <w:ind w:firstLine="600"/>
        <w:jc w:val="left"/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</w:pP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分项构成情况是：</w:t>
      </w:r>
      <w:r w:rsidRPr="003A71AB">
        <w:rPr>
          <w:rFonts w:ascii="Times New Roman" w:eastAsia="仿宋_GB2312" w:hAnsi="Times New Roman" w:cs="Times New Roman"/>
          <w:b/>
          <w:bCs/>
          <w:color w:val="212529"/>
          <w:kern w:val="0"/>
          <w:sz w:val="30"/>
          <w:szCs w:val="30"/>
          <w:shd w:val="clear" w:color="auto" w:fill="FFFFFF"/>
        </w:rPr>
        <w:t>因公出国（境）费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0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万元，完成年初预算数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7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万元的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0%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；与上年决算汇总数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0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万元一致，全年因公出国（境）团组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0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个，因公出国（境）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0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人次。</w:t>
      </w:r>
      <w:r w:rsidRPr="003A71AB">
        <w:rPr>
          <w:rFonts w:ascii="Times New Roman" w:eastAsia="仿宋_GB2312" w:hAnsi="Times New Roman" w:cs="Times New Roman"/>
          <w:b/>
          <w:bCs/>
          <w:color w:val="212529"/>
          <w:kern w:val="0"/>
          <w:sz w:val="30"/>
          <w:szCs w:val="30"/>
          <w:shd w:val="clear" w:color="auto" w:fill="FFFFFF"/>
        </w:rPr>
        <w:t>公务用车购置费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14.99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万元，完成年初预算数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65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万元的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23.06%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；较上年决算汇总数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124.49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万元减少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109.50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万元，下降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87.96%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，全年购置公务用车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辆。</w:t>
      </w:r>
      <w:r w:rsidRPr="003A71AB">
        <w:rPr>
          <w:rFonts w:ascii="Times New Roman" w:eastAsia="仿宋_GB2312" w:hAnsi="Times New Roman" w:cs="Times New Roman"/>
          <w:b/>
          <w:bCs/>
          <w:color w:val="212529"/>
          <w:kern w:val="0"/>
          <w:sz w:val="30"/>
          <w:szCs w:val="30"/>
          <w:shd w:val="clear" w:color="auto" w:fill="FFFFFF"/>
        </w:rPr>
        <w:t>公务用车运行维护费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417.69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万元，完成年初预算数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839.12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lastRenderedPageBreak/>
        <w:t>万元的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49.78%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；较上年决算汇总数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483.69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万元减少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66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万元，下降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13.65%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，年末公务用车保有量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306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辆。</w:t>
      </w:r>
      <w:r w:rsidRPr="003A71AB">
        <w:rPr>
          <w:rFonts w:ascii="Times New Roman" w:eastAsia="仿宋_GB2312" w:hAnsi="Times New Roman" w:cs="Times New Roman"/>
          <w:b/>
          <w:bCs/>
          <w:color w:val="212529"/>
          <w:kern w:val="0"/>
          <w:sz w:val="30"/>
          <w:szCs w:val="30"/>
          <w:shd w:val="clear" w:color="auto" w:fill="FFFFFF"/>
        </w:rPr>
        <w:t>公务接待费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6.66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万元，完成年初预算数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68.20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万元的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9.77%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；较上年决算汇总数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22.61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万元减少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</w:t>
      </w:r>
      <w:bookmarkStart w:id="0" w:name="_GoBack"/>
      <w:bookmarkEnd w:id="0"/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5.95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万元，下降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70.54%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，全年公务接待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82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批次（含外事接待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0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批次），接待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1029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人次（含外事接待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0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人次）。各分项决算汇总数据均严格控制在年初预算数内。</w:t>
      </w:r>
    </w:p>
    <w:p w:rsidR="007D78C1" w:rsidRPr="003A71AB" w:rsidRDefault="007269C9">
      <w:pPr>
        <w:widowControl/>
        <w:spacing w:beforeAutospacing="1" w:afterAutospacing="1"/>
        <w:ind w:firstLine="600"/>
        <w:jc w:val="left"/>
        <w:rPr>
          <w:rFonts w:ascii="Times New Roman" w:eastAsia="仿宋_GB2312" w:hAnsi="Times New Roman" w:cs="Times New Roman"/>
        </w:rPr>
      </w:pP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按照中央八项规定精神和《党政机关厉行节约反对浪费条例》《财政部关于加强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“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三公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”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经费管理严控一般性支出的通知》（财预〔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2022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〕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126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号）、《中共云南省委办公厅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 xml:space="preserve"> 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云南省人民政府办公厅关于进一步加强厉行节约反对浪费的通知》（云办发〔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2022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〕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15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号）等规定以及政府过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“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紧日子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”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的要求，呈贡区财政局持续加强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“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三公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”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经费管理，强化预算控制、预算执行约束及动态监控，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2022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年度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“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三公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”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经费较上年度有所下降，并符合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“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三公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”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经费管理和严控一般性支出等要求。</w:t>
      </w:r>
    </w:p>
    <w:p w:rsidR="007D78C1" w:rsidRPr="003A71AB" w:rsidRDefault="007269C9">
      <w:pPr>
        <w:widowControl/>
        <w:spacing w:beforeAutospacing="1" w:afterAutospacing="1"/>
        <w:ind w:firstLine="600"/>
        <w:jc w:val="left"/>
        <w:rPr>
          <w:rFonts w:ascii="Times New Roman" w:eastAsia="仿宋_GB2312" w:hAnsi="Times New Roman" w:cs="Times New Roman"/>
        </w:rPr>
      </w:pP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附件：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1.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呈贡区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2022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年度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“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三公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”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经费决算汇总表</w:t>
      </w:r>
    </w:p>
    <w:p w:rsidR="007D78C1" w:rsidRPr="003A71AB" w:rsidRDefault="007269C9">
      <w:pPr>
        <w:widowControl/>
        <w:spacing w:beforeAutospacing="1" w:afterAutospacing="1"/>
        <w:ind w:firstLineChars="500" w:firstLine="1500"/>
        <w:jc w:val="left"/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</w:pP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2.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呈贡区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“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三公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”</w:t>
      </w:r>
      <w:r w:rsidRPr="003A71AB">
        <w:rPr>
          <w:rFonts w:ascii="Times New Roman" w:eastAsia="仿宋_GB2312" w:hAnsi="Times New Roman" w:cs="Times New Roman"/>
          <w:color w:val="212529"/>
          <w:kern w:val="0"/>
          <w:sz w:val="30"/>
          <w:szCs w:val="30"/>
          <w:shd w:val="clear" w:color="auto" w:fill="FFFFFF"/>
        </w:rPr>
        <w:t>经费口径说明</w:t>
      </w:r>
    </w:p>
    <w:p w:rsidR="007269C9" w:rsidRDefault="007269C9" w:rsidP="007269C9">
      <w:pPr>
        <w:widowControl/>
        <w:spacing w:beforeAutospacing="1" w:afterAutospacing="1"/>
        <w:ind w:firstLineChars="500" w:firstLine="1500"/>
        <w:jc w:val="left"/>
        <w:rPr>
          <w:rFonts w:ascii="仿宋_GB2312" w:eastAsia="仿宋_GB2312" w:hAnsi="Segoe UI" w:cs="仿宋_GB2312"/>
          <w:color w:val="212529"/>
          <w:kern w:val="0"/>
          <w:sz w:val="30"/>
          <w:szCs w:val="30"/>
          <w:shd w:val="clear" w:color="auto" w:fill="FFFFFF"/>
        </w:rPr>
      </w:pPr>
    </w:p>
    <w:p w:rsidR="007269C9" w:rsidRDefault="007269C9" w:rsidP="007269C9">
      <w:pPr>
        <w:widowControl/>
        <w:spacing w:beforeAutospacing="1" w:afterAutospacing="1"/>
        <w:ind w:firstLineChars="500" w:firstLine="1500"/>
        <w:jc w:val="left"/>
        <w:rPr>
          <w:rFonts w:ascii="仿宋_GB2312" w:eastAsia="仿宋_GB2312" w:hAnsi="Segoe UI" w:cs="仿宋_GB2312"/>
          <w:color w:val="212529"/>
          <w:kern w:val="0"/>
          <w:sz w:val="30"/>
          <w:szCs w:val="30"/>
          <w:shd w:val="clear" w:color="auto" w:fill="FFFFFF"/>
        </w:rPr>
      </w:pPr>
    </w:p>
    <w:p w:rsidR="007269C9" w:rsidRDefault="007269C9" w:rsidP="007269C9">
      <w:pPr>
        <w:widowControl/>
        <w:spacing w:beforeAutospacing="1" w:afterAutospacing="1"/>
        <w:ind w:firstLineChars="500" w:firstLine="1500"/>
        <w:jc w:val="left"/>
        <w:rPr>
          <w:rFonts w:ascii="仿宋_GB2312" w:eastAsia="仿宋_GB2312" w:hAnsi="Segoe UI" w:cs="仿宋_GB2312"/>
          <w:color w:val="212529"/>
          <w:kern w:val="0"/>
          <w:sz w:val="30"/>
          <w:szCs w:val="30"/>
          <w:shd w:val="clear" w:color="auto" w:fill="FFFFFF"/>
        </w:rPr>
      </w:pPr>
    </w:p>
    <w:p w:rsidR="007269C9" w:rsidRDefault="007269C9" w:rsidP="007269C9">
      <w:pPr>
        <w:widowControl/>
        <w:spacing w:beforeAutospacing="1" w:afterAutospacing="1"/>
        <w:ind w:firstLineChars="500" w:firstLine="1050"/>
        <w:jc w:val="left"/>
      </w:pPr>
    </w:p>
    <w:tbl>
      <w:tblPr>
        <w:tblW w:w="5000" w:type="pct"/>
        <w:tblLook w:val="04A0"/>
      </w:tblPr>
      <w:tblGrid>
        <w:gridCol w:w="1168"/>
        <w:gridCol w:w="2361"/>
        <w:gridCol w:w="2251"/>
        <w:gridCol w:w="1096"/>
        <w:gridCol w:w="1646"/>
      </w:tblGrid>
      <w:tr w:rsidR="007269C9" w:rsidRPr="007269C9" w:rsidTr="007269C9">
        <w:trPr>
          <w:trHeight w:val="441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bookmarkStart w:id="1" w:name="RANGE!A1:E13"/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附件1</w:t>
            </w:r>
            <w:bookmarkEnd w:id="1"/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269C9" w:rsidRPr="007269C9" w:rsidTr="007269C9">
        <w:trPr>
          <w:trHeight w:val="8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C9" w:rsidRPr="003A71AB" w:rsidRDefault="007269C9" w:rsidP="007269C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3A71AB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呈贡区2022年度“三公”经费决算汇总表</w:t>
            </w:r>
          </w:p>
        </w:tc>
      </w:tr>
      <w:tr w:rsidR="007269C9" w:rsidRPr="007269C9" w:rsidTr="007269C9">
        <w:trPr>
          <w:trHeight w:val="465"/>
        </w:trPr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单位：万元、%</w:t>
            </w:r>
          </w:p>
        </w:tc>
      </w:tr>
      <w:tr w:rsidR="007269C9" w:rsidRPr="007269C9" w:rsidTr="007269C9">
        <w:trPr>
          <w:trHeight w:val="621"/>
        </w:trPr>
        <w:tc>
          <w:tcPr>
            <w:tcW w:w="116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项  目</w:t>
            </w:r>
          </w:p>
        </w:tc>
        <w:tc>
          <w:tcPr>
            <w:tcW w:w="9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2021年“三公”经费 </w:t>
            </w:r>
          </w:p>
        </w:tc>
        <w:tc>
          <w:tcPr>
            <w:tcW w:w="9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2022年“三公”经费</w:t>
            </w:r>
          </w:p>
        </w:tc>
        <w:tc>
          <w:tcPr>
            <w:tcW w:w="19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较上年增减情况</w:t>
            </w:r>
          </w:p>
        </w:tc>
      </w:tr>
      <w:tr w:rsidR="007269C9" w:rsidRPr="007269C9" w:rsidTr="007269C9">
        <w:trPr>
          <w:trHeight w:val="621"/>
        </w:trPr>
        <w:tc>
          <w:tcPr>
            <w:tcW w:w="116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增、减额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增、减幅度</w:t>
            </w:r>
          </w:p>
        </w:tc>
      </w:tr>
      <w:tr w:rsidR="007269C9" w:rsidRPr="007269C9" w:rsidTr="007269C9">
        <w:trPr>
          <w:trHeight w:val="621"/>
        </w:trPr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630.79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439.34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-191.45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-0.30 </w:t>
            </w:r>
          </w:p>
        </w:tc>
      </w:tr>
      <w:tr w:rsidR="007269C9" w:rsidRPr="007269C9" w:rsidTr="007269C9">
        <w:trPr>
          <w:trHeight w:val="621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  1、因公出国（境）费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  <w:tr w:rsidR="007269C9" w:rsidRPr="007269C9" w:rsidTr="007269C9">
        <w:trPr>
          <w:trHeight w:val="621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  2、公务接待费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22.61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6.66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-15.95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-0.71 </w:t>
            </w:r>
          </w:p>
        </w:tc>
      </w:tr>
      <w:tr w:rsidR="007269C9" w:rsidRPr="007269C9" w:rsidTr="007269C9">
        <w:trPr>
          <w:trHeight w:val="621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  3、公务用车费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608.18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432.68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-175.50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-0.29 </w:t>
            </w:r>
          </w:p>
        </w:tc>
      </w:tr>
      <w:tr w:rsidR="007269C9" w:rsidRPr="007269C9" w:rsidTr="007269C9">
        <w:trPr>
          <w:trHeight w:val="621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9" w:rsidRPr="007269C9" w:rsidRDefault="007269C9" w:rsidP="007269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其中：（1）公务用车购置费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124.49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14.99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-109.50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-0.88 </w:t>
            </w:r>
          </w:p>
        </w:tc>
      </w:tr>
      <w:tr w:rsidR="007269C9" w:rsidRPr="007269C9" w:rsidTr="007269C9">
        <w:trPr>
          <w:trHeight w:val="621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9" w:rsidRPr="007269C9" w:rsidRDefault="007269C9" w:rsidP="007269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    （2）公务用车运行</w:t>
            </w:r>
            <w:r w:rsidRPr="007269C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维护费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483.69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417.69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-66.00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9C9" w:rsidRPr="007269C9" w:rsidRDefault="007269C9" w:rsidP="007269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-0.14 </w:t>
            </w:r>
          </w:p>
        </w:tc>
      </w:tr>
      <w:tr w:rsidR="007269C9" w:rsidRPr="007269C9" w:rsidTr="007269C9">
        <w:trPr>
          <w:trHeight w:val="182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注：1.按照党中央、国务院有关文件及部门预算管理有关规定，“三公”经费包括因公出国（境）费、公务用车购置及运行维护费和公务接侍费。</w:t>
            </w: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（1）因公出国（境）费，指单位公务出国（境）的国际旅费、国外城市间交通费、住宿费、伙食费、培训费、公杂费等支出。2022年，呈贡区因公出国（境）团组0个，因公出国（境）0 人次。</w:t>
            </w: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（2）公务用车购置费，指公务用车购置支出（含车辆购置税、牌照费）；公务用车运行维护费，指单位按规定保留的公务用车燃料费、维修费、过路过桥费、保险费、安全奖励费用等支出。2022年，呈贡区公务用车购置数1辆。</w:t>
            </w: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（3）公务接侍费，指单位按规定开支的各类公务接待（含外宾接待）费用。2022年，呈贡区国内公务接待82批次（其中：外事接0批次），1029人次（其中：外事接待0人次）。</w:t>
            </w:r>
          </w:p>
        </w:tc>
      </w:tr>
      <w:tr w:rsidR="007269C9" w:rsidRPr="007269C9" w:rsidTr="007269C9">
        <w:trPr>
          <w:trHeight w:val="5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9C9" w:rsidRPr="007269C9" w:rsidRDefault="007269C9" w:rsidP="007269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69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2.“三公”经费决算数：指各部门（含下属单位）用一般公共预算财政拨款（含上年结转结余和当年预算）安排的因公出国（境）费、公务用车购置及运行维护费和公务接待费支出数。      </w:t>
            </w:r>
          </w:p>
        </w:tc>
      </w:tr>
    </w:tbl>
    <w:p w:rsidR="007D78C1" w:rsidRDefault="007D78C1"/>
    <w:p w:rsidR="007269C9" w:rsidRDefault="007269C9"/>
    <w:p w:rsidR="007269C9" w:rsidRDefault="007269C9"/>
    <w:p w:rsidR="007269C9" w:rsidRDefault="007269C9"/>
    <w:p w:rsidR="007269C9" w:rsidRDefault="007269C9" w:rsidP="007269C9">
      <w:pPr>
        <w:widowControl/>
        <w:shd w:val="clear" w:color="auto" w:fill="FFFFFF"/>
        <w:spacing w:before="100" w:beforeAutospacing="1" w:after="100" w:afterAutospacing="1" w:line="590" w:lineRule="exact"/>
        <w:jc w:val="left"/>
        <w:rPr>
          <w:rFonts w:ascii="黑体" w:eastAsia="黑体" w:hAnsi="黑体" w:cs="黑体"/>
          <w:color w:val="212529"/>
          <w:kern w:val="0"/>
          <w:sz w:val="24"/>
        </w:rPr>
      </w:pPr>
      <w:r>
        <w:rPr>
          <w:rFonts w:ascii="黑体" w:eastAsia="黑体" w:hAnsi="黑体" w:cs="黑体" w:hint="eastAsia"/>
          <w:color w:val="212529"/>
          <w:kern w:val="0"/>
          <w:sz w:val="30"/>
          <w:szCs w:val="30"/>
        </w:rPr>
        <w:t>附件2</w:t>
      </w:r>
    </w:p>
    <w:p w:rsidR="007269C9" w:rsidRPr="003A71AB" w:rsidRDefault="007269C9" w:rsidP="007269C9">
      <w:pPr>
        <w:widowControl/>
        <w:shd w:val="clear" w:color="auto" w:fill="FFFFFF"/>
        <w:spacing w:before="100" w:beforeAutospacing="1" w:after="100" w:afterAutospacing="1" w:line="590" w:lineRule="exact"/>
        <w:jc w:val="center"/>
        <w:rPr>
          <w:rFonts w:ascii="方正小标宋简体" w:eastAsia="方正小标宋简体" w:hAnsi="方正小标宋简体" w:cs="方正小标宋简体"/>
          <w:color w:val="212529"/>
          <w:kern w:val="0"/>
          <w:sz w:val="44"/>
          <w:szCs w:val="44"/>
        </w:rPr>
      </w:pPr>
      <w:r w:rsidRPr="003A71AB">
        <w:rPr>
          <w:rFonts w:ascii="方正小标宋简体" w:eastAsia="方正小标宋简体" w:hAnsi="方正小标宋简体" w:cs="方正小标宋简体" w:hint="eastAsia"/>
          <w:color w:val="212529"/>
          <w:kern w:val="0"/>
          <w:sz w:val="44"/>
          <w:szCs w:val="44"/>
        </w:rPr>
        <w:t>呈贡区本级“三公”经费口径说明</w:t>
      </w:r>
    </w:p>
    <w:p w:rsidR="007269C9" w:rsidRPr="003A71AB" w:rsidRDefault="007269C9" w:rsidP="007269C9">
      <w:pPr>
        <w:widowControl/>
        <w:shd w:val="clear" w:color="auto" w:fill="FFFFFF"/>
        <w:spacing w:before="100" w:beforeAutospacing="1" w:after="100" w:afterAutospacing="1" w:line="590" w:lineRule="exact"/>
        <w:jc w:val="center"/>
        <w:rPr>
          <w:rFonts w:ascii="方正小标宋简体" w:eastAsia="方正小标宋简体" w:hAnsi="方正小标宋简体" w:cs="方正小标宋简体"/>
          <w:color w:val="212529"/>
          <w:kern w:val="0"/>
          <w:sz w:val="32"/>
          <w:szCs w:val="32"/>
        </w:rPr>
      </w:pPr>
    </w:p>
    <w:p w:rsidR="007269C9" w:rsidRPr="003A71AB" w:rsidRDefault="007269C9" w:rsidP="003A71AB">
      <w:pPr>
        <w:widowControl/>
        <w:shd w:val="clear" w:color="auto" w:fill="FFFFFF"/>
        <w:spacing w:before="100" w:beforeAutospacing="1" w:after="100" w:afterAutospacing="1"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212529"/>
          <w:kern w:val="0"/>
          <w:sz w:val="32"/>
          <w:szCs w:val="32"/>
        </w:rPr>
      </w:pPr>
      <w:r w:rsidRPr="003A71AB">
        <w:rPr>
          <w:rFonts w:ascii="仿宋_GB2312" w:eastAsia="仿宋_GB2312" w:hAnsi="仿宋_GB2312" w:cs="仿宋_GB2312" w:hint="eastAsia"/>
          <w:color w:val="212529"/>
          <w:kern w:val="0"/>
          <w:sz w:val="32"/>
          <w:szCs w:val="32"/>
        </w:rPr>
        <w:t>按照党中央、国务院有关文件及部门预算管理有关规定，“三公”经费包括因公出国（境）费、公务用车购置及运行维护费和公务接待费。</w:t>
      </w:r>
    </w:p>
    <w:p w:rsidR="007269C9" w:rsidRPr="003A71AB" w:rsidRDefault="007269C9" w:rsidP="003A71AB">
      <w:pPr>
        <w:widowControl/>
        <w:shd w:val="clear" w:color="auto" w:fill="FFFFFF"/>
        <w:spacing w:before="100" w:beforeAutospacing="1" w:after="100" w:afterAutospacing="1"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212529"/>
          <w:kern w:val="0"/>
          <w:sz w:val="32"/>
          <w:szCs w:val="32"/>
        </w:rPr>
      </w:pPr>
      <w:r w:rsidRPr="003A71AB">
        <w:rPr>
          <w:rFonts w:ascii="仿宋_GB2312" w:eastAsia="仿宋_GB2312" w:hAnsi="仿宋_GB2312" w:cs="仿宋_GB2312" w:hint="eastAsia"/>
          <w:color w:val="212529"/>
          <w:kern w:val="0"/>
          <w:sz w:val="32"/>
          <w:szCs w:val="32"/>
        </w:rPr>
        <w:t>一、因公出国（境）费：指单位公务出国（境）的国际旅费、国外城市间交通费、住宿费、伙食费、培训费、公杂费等支出。</w:t>
      </w:r>
    </w:p>
    <w:p w:rsidR="007269C9" w:rsidRPr="003A71AB" w:rsidRDefault="007269C9" w:rsidP="003A71AB">
      <w:pPr>
        <w:widowControl/>
        <w:shd w:val="clear" w:color="auto" w:fill="FFFFFF"/>
        <w:spacing w:before="100" w:beforeAutospacing="1" w:after="100" w:afterAutospacing="1"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212529"/>
          <w:kern w:val="0"/>
          <w:sz w:val="32"/>
          <w:szCs w:val="32"/>
        </w:rPr>
      </w:pPr>
      <w:r w:rsidRPr="003A71AB">
        <w:rPr>
          <w:rFonts w:ascii="仿宋_GB2312" w:eastAsia="仿宋_GB2312" w:hAnsi="仿宋_GB2312" w:cs="仿宋_GB2312" w:hint="eastAsia"/>
          <w:color w:val="212529"/>
          <w:kern w:val="0"/>
          <w:sz w:val="32"/>
          <w:szCs w:val="32"/>
        </w:rPr>
        <w:t>二、公务用车购置费：指单位公务用车购置支出（含车辆购置税、牌照费等）。</w:t>
      </w:r>
    </w:p>
    <w:p w:rsidR="007269C9" w:rsidRPr="003A71AB" w:rsidRDefault="007269C9" w:rsidP="003A71AB">
      <w:pPr>
        <w:widowControl/>
        <w:shd w:val="clear" w:color="auto" w:fill="FFFFFF"/>
        <w:spacing w:before="100" w:beforeAutospacing="1" w:after="100" w:afterAutospacing="1"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212529"/>
          <w:kern w:val="0"/>
          <w:sz w:val="32"/>
          <w:szCs w:val="32"/>
        </w:rPr>
      </w:pPr>
      <w:r w:rsidRPr="003A71AB">
        <w:rPr>
          <w:rFonts w:ascii="仿宋_GB2312" w:eastAsia="仿宋_GB2312" w:hAnsi="仿宋_GB2312" w:cs="仿宋_GB2312" w:hint="eastAsia"/>
          <w:color w:val="212529"/>
          <w:kern w:val="0"/>
          <w:sz w:val="32"/>
          <w:szCs w:val="32"/>
        </w:rPr>
        <w:t>三、公务用车运行维护费：指单位按规定保留的公务用车燃料费、维修费、过桥过路费、保险费、安全奖励费用等支出。</w:t>
      </w:r>
    </w:p>
    <w:p w:rsidR="007269C9" w:rsidRPr="003A71AB" w:rsidRDefault="007269C9" w:rsidP="003A71AB">
      <w:pPr>
        <w:widowControl/>
        <w:shd w:val="clear" w:color="auto" w:fill="FFFFFF"/>
        <w:spacing w:before="100" w:beforeAutospacing="1" w:after="100" w:afterAutospacing="1"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212529"/>
          <w:kern w:val="0"/>
          <w:sz w:val="32"/>
          <w:szCs w:val="32"/>
        </w:rPr>
      </w:pPr>
      <w:r w:rsidRPr="003A71AB">
        <w:rPr>
          <w:rFonts w:ascii="仿宋_GB2312" w:eastAsia="仿宋_GB2312" w:hAnsi="仿宋_GB2312" w:cs="仿宋_GB2312" w:hint="eastAsia"/>
          <w:color w:val="212529"/>
          <w:kern w:val="0"/>
          <w:sz w:val="32"/>
          <w:szCs w:val="32"/>
        </w:rPr>
        <w:t>四、公务接待费：指单位按规定开支的各类公务接待（含外宾接待）费用。</w:t>
      </w:r>
    </w:p>
    <w:p w:rsidR="007269C9" w:rsidRPr="003A71AB" w:rsidRDefault="007269C9" w:rsidP="003A71AB">
      <w:pPr>
        <w:widowControl/>
        <w:shd w:val="clear" w:color="auto" w:fill="FFFFFF"/>
        <w:spacing w:before="100" w:beforeAutospacing="1" w:after="100" w:afterAutospacing="1"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212529"/>
          <w:kern w:val="0"/>
          <w:sz w:val="32"/>
          <w:szCs w:val="32"/>
        </w:rPr>
      </w:pPr>
      <w:r w:rsidRPr="003A71AB">
        <w:rPr>
          <w:rFonts w:ascii="仿宋_GB2312" w:eastAsia="仿宋_GB2312" w:hAnsi="仿宋_GB2312" w:cs="仿宋_GB2312" w:hint="eastAsia"/>
          <w:color w:val="212529"/>
          <w:kern w:val="0"/>
          <w:sz w:val="32"/>
          <w:szCs w:val="32"/>
        </w:rPr>
        <w:t>五、“三公”经费决算数：指各部门（含下属单位）用一般公共预算财政拨款（含上年结转结余和当年预算）安排</w:t>
      </w:r>
      <w:r w:rsidRPr="003A71AB">
        <w:rPr>
          <w:rFonts w:ascii="仿宋_GB2312" w:eastAsia="仿宋_GB2312" w:hAnsi="仿宋_GB2312" w:cs="仿宋_GB2312" w:hint="eastAsia"/>
          <w:color w:val="212529"/>
          <w:kern w:val="0"/>
          <w:sz w:val="32"/>
          <w:szCs w:val="32"/>
        </w:rPr>
        <w:lastRenderedPageBreak/>
        <w:t xml:space="preserve">的因公出国（境）费、公务用车购置及运行维护费和公务接待费支出数。 </w:t>
      </w:r>
      <w:r w:rsidRPr="003A71AB">
        <w:rPr>
          <w:rFonts w:ascii="宋体" w:eastAsia="宋体" w:hAnsi="宋体" w:cs="宋体" w:hint="eastAsia"/>
          <w:color w:val="212529"/>
          <w:kern w:val="0"/>
          <w:sz w:val="32"/>
          <w:szCs w:val="32"/>
        </w:rPr>
        <w:t>    </w:t>
      </w:r>
    </w:p>
    <w:p w:rsidR="007269C9" w:rsidRPr="003A71AB" w:rsidRDefault="007269C9">
      <w:pPr>
        <w:rPr>
          <w:sz w:val="32"/>
          <w:szCs w:val="32"/>
        </w:rPr>
      </w:pPr>
    </w:p>
    <w:sectPr w:rsidR="007269C9" w:rsidRPr="003A71AB" w:rsidSect="007D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Aq@qA0ó@.óAưóA؀ó@ƮóAڲóA਀ó@ڰóA஠óA฀ó@ஞóA཰ó@཮óAྤó@ྡྷó@࿂A࿌@࿊@࿒@࿘Ň@࿚A᐀ħ@࿜ħ@ᐨ@ᐪAᐴ@ᐲ@ᑂAᑆ@ᑄAᑐ@ᑎAᑬ@ᑪAᒄ@ᒂ@ᒒ@ᒔAᒜ@ᒚAᒦ@ᒤ@ᒰAᒴ@ᒲAᒾ@ᒼAᓎ@ᓌAᓞ@ᓜAᓰ@ᓮ@ᓼAᔀ@ᓾAᔢ@ᔠAᔮ@ᔬAᔺ@ᔸAᕆ@ᕄ@ᕐAᕔ@ᕒAᕰ@ᕮAᕾ@ᕼAᖊ@ᖈAᖚ@ᖘ@ᖦAᖪ@ᖨAᗆ@ᗄAᗖ@ᗔAᗦ@ᗤA☀@ᗶ@☌A☐@☎A☬@☪A☼@☺A♊@♈A♜@♚@♨A♬@♪A⚞@⚜A⚮@⚬A⚾@⚼A⛎@⛌@⛚A⛞A⸀@⛜@ぐAご@げ@ㄔAㄠ@ㄞAㄨā@ㄦā@ㅆŁAㅊŅ@ㅈŅA㠀Ņ@㇄ŅA㡰Ņ@㡮ŅA㢸Ņ@㢶ŅA㤤Ņ@㤢ŅA㥨Ņ@㥦Ņ@㨖ŉ翴&#10;翴蓮噦"/>
  </w:docVars>
  <w:rsids>
    <w:rsidRoot w:val="007D78C1"/>
    <w:rsid w:val="003A71AB"/>
    <w:rsid w:val="007269C9"/>
    <w:rsid w:val="007D78C1"/>
    <w:rsid w:val="00EF3475"/>
    <w:rsid w:val="043D1B5A"/>
    <w:rsid w:val="09B53EF3"/>
    <w:rsid w:val="170724CC"/>
    <w:rsid w:val="214F2405"/>
    <w:rsid w:val="3A0219EA"/>
    <w:rsid w:val="434361C2"/>
    <w:rsid w:val="4B9F40CE"/>
    <w:rsid w:val="4D6A0310"/>
    <w:rsid w:val="4E62153A"/>
    <w:rsid w:val="54B10847"/>
    <w:rsid w:val="57335C43"/>
    <w:rsid w:val="5A783FBF"/>
    <w:rsid w:val="5EE07040"/>
    <w:rsid w:val="616C4DE5"/>
    <w:rsid w:val="6AAD373D"/>
    <w:rsid w:val="7504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8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7D78C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1700</Words>
  <Characters>477</Characters>
  <Application>Microsoft Office Word</Application>
  <DocSecurity>0</DocSecurity>
  <Lines>3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2023-10-30T07:30:00Z</cp:lastPrinted>
  <dcterms:created xsi:type="dcterms:W3CDTF">2023-09-25T02:36:00Z</dcterms:created>
  <dcterms:modified xsi:type="dcterms:W3CDTF">2023-10-30T07:30:00Z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DA15B8296B0D45778F18669EEA392E40_12</vt:lpwstr>
  </property>
</Properties>
</file>