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highlight w:val="none"/>
          <w:lang w:val="en-US" w:eastAsia="zh-CN"/>
        </w:rPr>
        <w:t>中央和省第一批公共充换电基础设施建设补助资金项目2022年</w:t>
      </w:r>
      <w:r>
        <w:rPr>
          <w:rFonts w:hint="eastAsia" w:ascii="方正小标宋_GBK" w:eastAsia="方正小标宋_GBK"/>
          <w:sz w:val="36"/>
          <w:szCs w:val="36"/>
        </w:rPr>
        <w:t>项目支出绩效</w:t>
      </w:r>
      <w:r>
        <w:rPr>
          <w:rFonts w:hint="eastAsia" w:ascii="方正小标宋_GBK" w:eastAsia="方正小标宋_GBK"/>
          <w:sz w:val="36"/>
          <w:szCs w:val="36"/>
          <w:lang w:eastAsia="zh-CN"/>
        </w:rPr>
        <w:t>自评</w:t>
      </w:r>
      <w:r>
        <w:rPr>
          <w:rFonts w:hint="eastAsia" w:ascii="方正小标宋_GBK" w:eastAsia="方正小标宋_GBK"/>
          <w:sz w:val="36"/>
          <w:szCs w:val="36"/>
        </w:rPr>
        <w:t>报告</w:t>
      </w:r>
    </w:p>
    <w:p>
      <w:pPr>
        <w:spacing w:line="600" w:lineRule="exact"/>
        <w:ind w:firstLine="594" w:firstLineChars="200"/>
        <w:rPr>
          <w:rFonts w:ascii="仿宋_GB2312"/>
          <w:b/>
          <w:szCs w:val="32"/>
        </w:rPr>
      </w:pPr>
    </w:p>
    <w:p>
      <w:pPr>
        <w:ind w:firstLine="594" w:firstLineChars="200"/>
        <w:rPr>
          <w:rFonts w:ascii="仿宋_GB2312"/>
          <w:b/>
          <w:szCs w:val="32"/>
        </w:rPr>
      </w:pPr>
      <w:r>
        <w:rPr>
          <w:rFonts w:hint="eastAsia" w:ascii="仿宋_GB2312"/>
          <w:b/>
          <w:szCs w:val="32"/>
        </w:rPr>
        <w:t>一、基本情况</w:t>
      </w:r>
    </w:p>
    <w:p>
      <w:pPr>
        <w:ind w:firstLine="594" w:firstLineChars="200"/>
        <w:outlineLvl w:val="0"/>
        <w:rPr>
          <w:rFonts w:ascii="仿宋_GB2312"/>
          <w:szCs w:val="32"/>
        </w:rPr>
      </w:pPr>
      <w:r>
        <w:rPr>
          <w:rFonts w:hint="eastAsia" w:ascii="仿宋_GB2312"/>
          <w:szCs w:val="32"/>
        </w:rPr>
        <w:t>（一）</w:t>
      </w:r>
      <w:r>
        <w:rPr>
          <w:rFonts w:hint="eastAsia" w:ascii="仿宋_GB2312"/>
          <w:szCs w:val="32"/>
          <w:lang w:eastAsia="zh-CN"/>
        </w:rPr>
        <w:t>根据《昆明市财政局关于下达中央节能减排补助资金和第一批省级公共充换电基础设施建设补助资金的通知》</w:t>
      </w:r>
      <w:r>
        <w:rPr>
          <w:rFonts w:hint="eastAsia" w:ascii="仿宋_GB2312"/>
          <w:szCs w:val="32"/>
          <w:lang w:val="en-US" w:eastAsia="zh-CN"/>
        </w:rPr>
        <w:t>，省级对呈贡区辖区2家充电桩建设企业补贴资金119.78万元。</w:t>
      </w:r>
    </w:p>
    <w:p>
      <w:pPr>
        <w:ind w:firstLine="594" w:firstLineChars="200"/>
        <w:rPr>
          <w:rFonts w:hint="eastAsia" w:ascii="仿宋_GB2312"/>
          <w:szCs w:val="32"/>
          <w:lang w:val="en-US"/>
        </w:rPr>
      </w:pPr>
      <w:r>
        <w:rPr>
          <w:rFonts w:hint="eastAsia" w:ascii="仿宋_GB2312"/>
          <w:szCs w:val="32"/>
        </w:rPr>
        <w:t>（二）项目绩效目标。</w:t>
      </w:r>
      <w:r>
        <w:rPr>
          <w:rFonts w:hint="eastAsia" w:ascii="仿宋_GB2312"/>
          <w:szCs w:val="32"/>
          <w:lang w:val="en-US" w:eastAsia="zh-CN"/>
        </w:rPr>
        <w:t>根据文件补助标准，对2019-2021年呈贡辖区2家充电桩建设企业补贴资金119.78万元。</w:t>
      </w:r>
    </w:p>
    <w:p>
      <w:pPr>
        <w:ind w:firstLine="594" w:firstLineChars="200"/>
        <w:rPr>
          <w:rFonts w:hint="eastAsia" w:ascii="仿宋_GB2312"/>
          <w:b/>
          <w:szCs w:val="32"/>
          <w:highlight w:val="none"/>
        </w:rPr>
      </w:pPr>
      <w:r>
        <w:rPr>
          <w:rFonts w:hint="eastAsia" w:ascii="仿宋_GB2312"/>
          <w:b/>
          <w:szCs w:val="32"/>
          <w:highlight w:val="none"/>
        </w:rPr>
        <w:t>二、项目单位绩效报告情况</w:t>
      </w:r>
    </w:p>
    <w:p>
      <w:pPr>
        <w:ind w:firstLine="594" w:firstLineChars="200"/>
        <w:rPr>
          <w:rFonts w:hint="eastAsia" w:ascii="仿宋_GB2312"/>
          <w:b w:val="0"/>
          <w:bCs/>
          <w:szCs w:val="32"/>
          <w:highlight w:val="none"/>
        </w:rPr>
      </w:pPr>
      <w:r>
        <w:rPr>
          <w:rFonts w:hint="eastAsia" w:ascii="仿宋_GB2312"/>
          <w:b w:val="0"/>
          <w:bCs/>
          <w:szCs w:val="32"/>
          <w:highlight w:val="none"/>
          <w:lang w:val="en-US" w:eastAsia="zh-CN"/>
        </w:rPr>
        <w:t>对</w:t>
      </w:r>
      <w:r>
        <w:rPr>
          <w:rFonts w:hint="eastAsia" w:ascii="仿宋_GB2312"/>
          <w:szCs w:val="32"/>
          <w:lang w:val="en-US" w:eastAsia="zh-CN"/>
        </w:rPr>
        <w:t>2019-2021年</w:t>
      </w:r>
      <w:r>
        <w:rPr>
          <w:rFonts w:hint="eastAsia" w:ascii="仿宋_GB2312"/>
          <w:b w:val="0"/>
          <w:bCs/>
          <w:szCs w:val="32"/>
          <w:highlight w:val="none"/>
          <w:lang w:val="en-US" w:eastAsia="zh-CN"/>
        </w:rPr>
        <w:t>在呈贡辖区内建设充电桩企业进行补助。</w:t>
      </w:r>
    </w:p>
    <w:p>
      <w:pPr>
        <w:ind w:firstLine="594" w:firstLineChars="200"/>
        <w:rPr>
          <w:rFonts w:ascii="仿宋_GB2312"/>
          <w:b/>
          <w:szCs w:val="32"/>
          <w:highlight w:val="none"/>
        </w:rPr>
      </w:pPr>
      <w:r>
        <w:rPr>
          <w:rFonts w:hint="eastAsia" w:ascii="仿宋_GB2312"/>
          <w:b/>
          <w:szCs w:val="32"/>
          <w:highlight w:val="none"/>
        </w:rPr>
        <w:t>三、绩效评价工作情况</w:t>
      </w:r>
    </w:p>
    <w:p>
      <w:pPr>
        <w:ind w:firstLine="594" w:firstLineChars="200"/>
        <w:outlineLvl w:val="0"/>
        <w:rPr>
          <w:rFonts w:hint="eastAsia" w:ascii="仿宋_GB2312"/>
          <w:szCs w:val="32"/>
          <w:highlight w:val="none"/>
        </w:rPr>
      </w:pPr>
      <w:r>
        <w:rPr>
          <w:rFonts w:hint="eastAsia" w:ascii="仿宋_GB2312"/>
          <w:szCs w:val="32"/>
          <w:highlight w:val="none"/>
        </w:rPr>
        <w:t>（一）绩效评价目的。提高财政资金使用效益，加快项目推进力度。</w:t>
      </w:r>
      <w:r>
        <w:rPr>
          <w:rFonts w:hint="eastAsia" w:ascii="仿宋_GB2312"/>
          <w:szCs w:val="32"/>
          <w:lang w:val="en-US" w:eastAsia="zh-CN"/>
        </w:rPr>
        <w:t>奖补措施</w:t>
      </w:r>
      <w:r>
        <w:rPr>
          <w:rFonts w:hint="eastAsia" w:ascii="仿宋_GB2312"/>
          <w:szCs w:val="32"/>
        </w:rPr>
        <w:t>提振了企业投建充电基础设施的积极性</w:t>
      </w:r>
      <w:r>
        <w:rPr>
          <w:rFonts w:hint="eastAsia" w:ascii="仿宋_GB2312"/>
          <w:szCs w:val="32"/>
          <w:lang w:eastAsia="zh-CN"/>
        </w:rPr>
        <w:t>，</w:t>
      </w:r>
      <w:r>
        <w:rPr>
          <w:rFonts w:hint="eastAsia" w:ascii="仿宋_GB2312"/>
          <w:szCs w:val="32"/>
        </w:rPr>
        <w:t>推动我区充电基础设施建设快速发展。</w:t>
      </w:r>
    </w:p>
    <w:p>
      <w:pPr>
        <w:ind w:firstLine="594" w:firstLineChars="200"/>
        <w:rPr>
          <w:rFonts w:hint="eastAsia" w:ascii="仿宋_GB2312"/>
          <w:szCs w:val="32"/>
          <w:highlight w:val="none"/>
        </w:rPr>
      </w:pPr>
      <w:r>
        <w:rPr>
          <w:rFonts w:hint="eastAsia" w:ascii="仿宋_GB2312"/>
          <w:szCs w:val="32"/>
          <w:highlight w:val="none"/>
        </w:rPr>
        <w:t>（二）绩效评价原则、评价指标体系、评价方法。科学、合理、客观、公正；按区财政局要求设定指标体系并进行评价；业务科室自评与发改局绩效评价工作小组总评相结合。</w:t>
      </w:r>
    </w:p>
    <w:p>
      <w:pPr>
        <w:spacing w:line="560" w:lineRule="exact"/>
        <w:ind w:firstLine="594" w:firstLineChars="200"/>
        <w:rPr>
          <w:rFonts w:hint="default" w:ascii="Times New Roman" w:hAnsi="Times New Roman" w:cs="Times New Roman"/>
          <w:szCs w:val="32"/>
          <w:highlight w:val="none"/>
        </w:rPr>
      </w:pPr>
      <w:r>
        <w:rPr>
          <w:rFonts w:hint="eastAsia" w:ascii="仿宋_GB2312"/>
          <w:szCs w:val="32"/>
          <w:highlight w:val="none"/>
        </w:rPr>
        <w:t>（三）绩效评价工作过程。</w:t>
      </w:r>
    </w:p>
    <w:p>
      <w:pPr>
        <w:ind w:firstLine="594" w:firstLineChars="200"/>
        <w:rPr>
          <w:rFonts w:ascii="仿宋_GB2312"/>
          <w:szCs w:val="32"/>
          <w:highlight w:val="none"/>
        </w:rPr>
      </w:pPr>
      <w:r>
        <w:rPr>
          <w:rFonts w:hint="eastAsia" w:ascii="仿宋_GB2312"/>
          <w:szCs w:val="32"/>
          <w:highlight w:val="none"/>
          <w:lang w:val="en-US" w:eastAsia="zh-CN"/>
        </w:rPr>
        <w:t>组织区财政局、市级平台公司对充电桩进行现场核查。核查合格后按照补贴标准发放补贴。</w:t>
      </w:r>
    </w:p>
    <w:p>
      <w:pPr>
        <w:ind w:firstLine="594" w:firstLineChars="200"/>
        <w:rPr>
          <w:rFonts w:ascii="仿宋_GB2312"/>
          <w:b/>
          <w:szCs w:val="32"/>
          <w:highlight w:val="none"/>
        </w:rPr>
      </w:pPr>
      <w:r>
        <w:rPr>
          <w:rFonts w:hint="eastAsia" w:ascii="仿宋_GB2312"/>
          <w:b/>
          <w:szCs w:val="32"/>
          <w:highlight w:val="none"/>
        </w:rPr>
        <w:t>四、绩效评价指标分析情况</w:t>
      </w:r>
    </w:p>
    <w:p>
      <w:pPr>
        <w:ind w:firstLine="594" w:firstLineChars="200"/>
        <w:outlineLvl w:val="0"/>
        <w:rPr>
          <w:rFonts w:ascii="仿宋_GB2312"/>
          <w:szCs w:val="32"/>
        </w:rPr>
      </w:pPr>
      <w:r>
        <w:rPr>
          <w:rFonts w:hint="eastAsia" w:ascii="仿宋_GB2312"/>
          <w:szCs w:val="32"/>
          <w:lang w:val="en-US" w:eastAsia="zh-CN"/>
        </w:rPr>
        <w:t>昆明百源智联新能源科技有限公司补助53.3037万元；昆明配售电有限公司补助66.4763万元。共计119.78万元。</w:t>
      </w:r>
      <w:bookmarkStart w:id="0" w:name="_GoBack"/>
      <w:bookmarkEnd w:id="0"/>
    </w:p>
    <w:p>
      <w:pPr>
        <w:ind w:firstLine="594" w:firstLineChars="200"/>
        <w:rPr>
          <w:rFonts w:ascii="仿宋_GB2312"/>
          <w:b/>
          <w:szCs w:val="32"/>
        </w:rPr>
      </w:pPr>
      <w:r>
        <w:rPr>
          <w:rFonts w:hint="eastAsia" w:ascii="仿宋_GB2312"/>
          <w:b/>
          <w:szCs w:val="32"/>
        </w:rPr>
        <w:t>五、综合评价情况及评价结论</w:t>
      </w:r>
      <w:r>
        <w:rPr>
          <w:rFonts w:hint="eastAsia" w:ascii="仿宋_GB2312"/>
          <w:bCs/>
          <w:szCs w:val="32"/>
        </w:rPr>
        <w:t>（附相关评分表）</w:t>
      </w:r>
      <w:r>
        <w:rPr>
          <w:rFonts w:hint="eastAsia" w:ascii="仿宋_GB2312"/>
          <w:b/>
          <w:szCs w:val="32"/>
        </w:rPr>
        <w:t>。</w:t>
      </w:r>
    </w:p>
    <w:p>
      <w:pPr>
        <w:ind w:firstLine="594" w:firstLineChars="200"/>
        <w:rPr>
          <w:rFonts w:hint="eastAsia" w:ascii="仿宋_GB2312"/>
          <w:b/>
          <w:szCs w:val="32"/>
        </w:rPr>
      </w:pPr>
      <w:r>
        <w:rPr>
          <w:rFonts w:hint="eastAsia" w:ascii="仿宋_GB2312"/>
          <w:b/>
          <w:szCs w:val="32"/>
        </w:rPr>
        <w:t>六、绩效评价结果应用建议</w:t>
      </w:r>
    </w:p>
    <w:p>
      <w:pPr>
        <w:ind w:firstLine="594" w:firstLineChars="200"/>
        <w:rPr>
          <w:rFonts w:hint="eastAsia" w:ascii="仿宋_GB2312"/>
          <w:b/>
          <w:szCs w:val="32"/>
          <w:lang w:eastAsia="zh-CN"/>
        </w:rPr>
      </w:pPr>
      <w:r>
        <w:rPr>
          <w:rFonts w:hint="eastAsia" w:ascii="仿宋_GB2312"/>
          <w:b/>
          <w:szCs w:val="32"/>
          <w:lang w:eastAsia="zh-CN"/>
        </w:rPr>
        <w:t>无</w:t>
      </w:r>
    </w:p>
    <w:p>
      <w:pPr>
        <w:ind w:firstLine="594" w:firstLineChars="200"/>
        <w:rPr>
          <w:rFonts w:hint="eastAsia" w:ascii="仿宋_GB2312"/>
          <w:b/>
          <w:szCs w:val="32"/>
        </w:rPr>
      </w:pPr>
      <w:r>
        <w:rPr>
          <w:rFonts w:hint="eastAsia" w:ascii="仿宋_GB2312"/>
          <w:b/>
          <w:szCs w:val="32"/>
        </w:rPr>
        <w:t>七、主要经验及做法、存在的问题和建议。</w:t>
      </w:r>
    </w:p>
    <w:p>
      <w:pPr>
        <w:ind w:firstLine="594" w:firstLineChars="200"/>
        <w:rPr>
          <w:rFonts w:hint="eastAsia" w:ascii="仿宋_GB2312" w:eastAsia="仿宋_GB2312"/>
          <w:b/>
          <w:szCs w:val="32"/>
          <w:lang w:eastAsia="zh-CN"/>
        </w:rPr>
      </w:pPr>
      <w:r>
        <w:rPr>
          <w:rFonts w:hint="eastAsia" w:ascii="仿宋_GB2312"/>
          <w:b/>
          <w:szCs w:val="32"/>
          <w:lang w:eastAsia="zh-CN"/>
        </w:rPr>
        <w:t>无</w:t>
      </w:r>
    </w:p>
    <w:p>
      <w:pPr>
        <w:ind w:firstLine="594" w:firstLineChars="200"/>
        <w:rPr>
          <w:rFonts w:hint="eastAsia" w:ascii="仿宋_GB2312"/>
          <w:b/>
          <w:szCs w:val="32"/>
        </w:rPr>
      </w:pPr>
      <w:r>
        <w:rPr>
          <w:rFonts w:hint="eastAsia" w:ascii="仿宋_GB2312"/>
          <w:b/>
          <w:szCs w:val="32"/>
        </w:rPr>
        <w:t>八、其他需说明的问题。</w:t>
      </w:r>
    </w:p>
    <w:p>
      <w:pPr>
        <w:ind w:firstLine="594" w:firstLineChars="200"/>
        <w:rPr>
          <w:rFonts w:hint="eastAsia" w:ascii="仿宋_GB2312" w:eastAsia="仿宋_GB2312"/>
          <w:b/>
          <w:szCs w:val="32"/>
          <w:lang w:eastAsia="zh-CN"/>
        </w:rPr>
      </w:pPr>
      <w:r>
        <w:rPr>
          <w:rFonts w:hint="eastAsia" w:ascii="仿宋_GB2312"/>
          <w:b/>
          <w:szCs w:val="32"/>
          <w:lang w:eastAsia="zh-CN"/>
        </w:rPr>
        <w:t>无</w:t>
      </w:r>
    </w:p>
    <w:p>
      <w:pPr>
        <w:spacing w:line="600" w:lineRule="exact"/>
        <w:rPr>
          <w:rFonts w:ascii="仿宋_GB2312"/>
          <w:sz w:val="28"/>
          <w:szCs w:val="28"/>
        </w:rPr>
      </w:pPr>
    </w:p>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72A7FD7"/>
    <w:rsid w:val="13456CBB"/>
    <w:rsid w:val="208140E4"/>
    <w:rsid w:val="217F210A"/>
    <w:rsid w:val="27D362E5"/>
    <w:rsid w:val="2AA9388F"/>
    <w:rsid w:val="2B07381A"/>
    <w:rsid w:val="2F072C1B"/>
    <w:rsid w:val="30BE095A"/>
    <w:rsid w:val="32CB060B"/>
    <w:rsid w:val="378A5996"/>
    <w:rsid w:val="3BDE34BB"/>
    <w:rsid w:val="3FEF254A"/>
    <w:rsid w:val="50024305"/>
    <w:rsid w:val="5A3C6978"/>
    <w:rsid w:val="626E6B77"/>
    <w:rsid w:val="67600811"/>
    <w:rsid w:val="699D0550"/>
    <w:rsid w:val="705E3435"/>
    <w:rsid w:val="7707774A"/>
    <w:rsid w:val="789B3B9E"/>
    <w:rsid w:val="7CC513D9"/>
    <w:rsid w:val="7E247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cs="Times New Roman"/>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cp:lastModifiedBy>
  <dcterms:modified xsi:type="dcterms:W3CDTF">2023-04-04T02:39:54Z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