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highlight w:val="none"/>
          <w:lang w:val="en-US" w:eastAsia="zh-CN"/>
        </w:rPr>
        <w:t>省级第二批公共充换电基础设施建设补助资金项目2022年</w:t>
      </w:r>
      <w:r>
        <w:rPr>
          <w:rFonts w:hint="eastAsia" w:ascii="方正小标宋_GBK" w:eastAsia="方正小标宋_GBK"/>
          <w:sz w:val="36"/>
          <w:szCs w:val="36"/>
        </w:rPr>
        <w:t>项目支出绩效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自评</w:t>
      </w:r>
      <w:r>
        <w:rPr>
          <w:rFonts w:hint="eastAsia" w:ascii="方正小标宋_GBK" w:eastAsia="方正小标宋_GBK"/>
          <w:sz w:val="36"/>
          <w:szCs w:val="36"/>
        </w:rPr>
        <w:t>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ind w:firstLine="594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一、基本情况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/>
          <w:szCs w:val="32"/>
          <w:lang w:eastAsia="zh-CN"/>
        </w:rPr>
        <w:t>根据《昆明市财政局关于下达省级公共充换电基础设施建设补助资金（第二批）的通知》</w:t>
      </w:r>
      <w:r>
        <w:rPr>
          <w:rFonts w:hint="eastAsia" w:ascii="仿宋_GB2312"/>
          <w:szCs w:val="32"/>
          <w:lang w:val="en-US" w:eastAsia="zh-CN"/>
        </w:rPr>
        <w:t>，省级对呈贡区辖区2家充电桩建设企业补贴资金17.07万元。</w:t>
      </w:r>
    </w:p>
    <w:p>
      <w:pPr>
        <w:ind w:firstLine="594" w:firstLineChars="200"/>
        <w:rPr>
          <w:rFonts w:hint="eastAsia" w:ascii="仿宋_GB2312"/>
          <w:szCs w:val="32"/>
          <w:lang w:val="en-US"/>
        </w:rPr>
      </w:pPr>
      <w:r>
        <w:rPr>
          <w:rFonts w:hint="eastAsia" w:ascii="仿宋_GB2312"/>
          <w:szCs w:val="32"/>
        </w:rPr>
        <w:t>（二）项目绩效目标。</w:t>
      </w:r>
      <w:r>
        <w:rPr>
          <w:rFonts w:hint="eastAsia" w:ascii="仿宋_GB2312"/>
          <w:szCs w:val="32"/>
          <w:lang w:val="en-US" w:eastAsia="zh-CN"/>
        </w:rPr>
        <w:t>根据文件补助标准，对2019-2021年呈贡辖区2家充电桩建设企业补贴资金17.07万元。</w:t>
      </w:r>
    </w:p>
    <w:p>
      <w:pPr>
        <w:ind w:firstLine="594" w:firstLineChars="200"/>
        <w:rPr>
          <w:rFonts w:hint="eastAsia" w:ascii="仿宋_GB2312"/>
          <w:b/>
          <w:szCs w:val="32"/>
          <w:highlight w:val="none"/>
        </w:rPr>
      </w:pPr>
      <w:r>
        <w:rPr>
          <w:rFonts w:hint="eastAsia" w:ascii="仿宋_GB2312"/>
          <w:b/>
          <w:szCs w:val="32"/>
          <w:highlight w:val="none"/>
        </w:rPr>
        <w:t>二、项目单位绩效报告情况</w:t>
      </w:r>
    </w:p>
    <w:p>
      <w:pPr>
        <w:ind w:firstLine="594" w:firstLineChars="200"/>
        <w:rPr>
          <w:rFonts w:hint="eastAsia" w:ascii="仿宋_GB2312"/>
          <w:b w:val="0"/>
          <w:bCs/>
          <w:szCs w:val="32"/>
          <w:highlight w:val="none"/>
        </w:rPr>
      </w:pPr>
      <w:r>
        <w:rPr>
          <w:rFonts w:hint="eastAsia" w:ascii="仿宋_GB2312"/>
          <w:b w:val="0"/>
          <w:bCs/>
          <w:szCs w:val="32"/>
          <w:highlight w:val="none"/>
          <w:lang w:val="en-US" w:eastAsia="zh-CN"/>
        </w:rPr>
        <w:t>对</w:t>
      </w:r>
      <w:r>
        <w:rPr>
          <w:rFonts w:hint="eastAsia" w:ascii="仿宋_GB2312"/>
          <w:szCs w:val="32"/>
          <w:lang w:val="en-US" w:eastAsia="zh-CN"/>
        </w:rPr>
        <w:t>2019-2021年</w:t>
      </w:r>
      <w:r>
        <w:rPr>
          <w:rFonts w:hint="eastAsia" w:ascii="仿宋_GB2312"/>
          <w:b w:val="0"/>
          <w:bCs/>
          <w:szCs w:val="32"/>
          <w:highlight w:val="none"/>
          <w:lang w:val="en-US" w:eastAsia="zh-CN"/>
        </w:rPr>
        <w:t>在呈贡辖区内建设充电桩企业进行补助。</w:t>
      </w:r>
    </w:p>
    <w:p>
      <w:pPr>
        <w:ind w:firstLine="594" w:firstLineChars="200"/>
        <w:rPr>
          <w:rFonts w:ascii="仿宋_GB2312"/>
          <w:b/>
          <w:szCs w:val="32"/>
          <w:highlight w:val="none"/>
        </w:rPr>
      </w:pPr>
      <w:r>
        <w:rPr>
          <w:rFonts w:hint="eastAsia" w:ascii="仿宋_GB2312"/>
          <w:b/>
          <w:szCs w:val="32"/>
          <w:highlight w:val="none"/>
        </w:rPr>
        <w:t>三、绩效评价工作情况</w:t>
      </w:r>
    </w:p>
    <w:p>
      <w:pPr>
        <w:ind w:firstLine="594" w:firstLineChars="200"/>
        <w:outlineLvl w:val="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（一）绩效评价目的。提高财政资金使用效益，加快项目推进力度。</w:t>
      </w:r>
      <w:r>
        <w:rPr>
          <w:rFonts w:hint="eastAsia" w:ascii="仿宋_GB2312"/>
          <w:szCs w:val="32"/>
          <w:lang w:val="en-US" w:eastAsia="zh-CN"/>
        </w:rPr>
        <w:t>奖补措施</w:t>
      </w:r>
      <w:r>
        <w:rPr>
          <w:rFonts w:hint="eastAsia" w:ascii="仿宋_GB2312"/>
          <w:szCs w:val="32"/>
        </w:rPr>
        <w:t>提振了企业投建充电基础设施的积极性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推动我区充电基础设施建设快速发展。</w:t>
      </w:r>
    </w:p>
    <w:p>
      <w:pPr>
        <w:ind w:firstLine="594" w:firstLineChars="20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（二）绩效评价原则、评价指标体系、评价方法。科学、合理、客观、公正；按区财政局要求设定指标体系并进行评价；业务科室自评与发改局绩效评价工作小组总评相结合。</w:t>
      </w:r>
    </w:p>
    <w:p>
      <w:pPr>
        <w:spacing w:line="560" w:lineRule="exact"/>
        <w:ind w:firstLine="594" w:firstLineChars="200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（三）绩效评价工作过程。</w:t>
      </w:r>
    </w:p>
    <w:p>
      <w:pPr>
        <w:ind w:firstLine="594" w:firstLineChars="20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组织区财政局、市级平台公司对充电桩进行现场核查。核查合格后按照补贴标准发放补贴。</w:t>
      </w:r>
    </w:p>
    <w:p>
      <w:pPr>
        <w:ind w:firstLine="594" w:firstLineChars="200"/>
        <w:rPr>
          <w:rFonts w:ascii="仿宋_GB2312"/>
          <w:b/>
          <w:szCs w:val="32"/>
          <w:highlight w:val="none"/>
        </w:rPr>
      </w:pPr>
      <w:r>
        <w:rPr>
          <w:rFonts w:hint="eastAsia" w:ascii="仿宋_GB2312"/>
          <w:b/>
          <w:szCs w:val="32"/>
          <w:highlight w:val="none"/>
        </w:rPr>
        <w:t>四、绩效评价指标分析情况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昆明百源智联新能源科技有限公司补助7.5964万元；昆明配售电有限公司补助9.4736</w:t>
      </w: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>万元。共计17.07万元。</w:t>
      </w:r>
    </w:p>
    <w:p>
      <w:pPr>
        <w:ind w:firstLine="594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五、综合评价情况及评价结论</w:t>
      </w:r>
      <w:r>
        <w:rPr>
          <w:rFonts w:hint="eastAsia" w:ascii="仿宋_GB2312"/>
          <w:bCs/>
          <w:szCs w:val="32"/>
        </w:rPr>
        <w:t>（附相关评分表）</w:t>
      </w:r>
      <w:r>
        <w:rPr>
          <w:rFonts w:hint="eastAsia" w:ascii="仿宋_GB2312"/>
          <w:b/>
          <w:szCs w:val="32"/>
        </w:rPr>
        <w:t>。</w:t>
      </w:r>
    </w:p>
    <w:p>
      <w:pPr>
        <w:ind w:firstLine="594" w:firstLineChars="200"/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Cs w:val="32"/>
        </w:rPr>
        <w:t>六、绩效评价结果应用建议</w:t>
      </w:r>
    </w:p>
    <w:p>
      <w:pPr>
        <w:ind w:firstLine="594" w:firstLineChars="200"/>
        <w:rPr>
          <w:rFonts w:hint="eastAsia" w:ascii="仿宋_GB2312"/>
          <w:b/>
          <w:szCs w:val="32"/>
          <w:lang w:eastAsia="zh-CN"/>
        </w:rPr>
      </w:pPr>
      <w:r>
        <w:rPr>
          <w:rFonts w:hint="eastAsia" w:ascii="仿宋_GB2312"/>
          <w:b/>
          <w:szCs w:val="32"/>
          <w:lang w:eastAsia="zh-CN"/>
        </w:rPr>
        <w:t>无</w:t>
      </w:r>
    </w:p>
    <w:p>
      <w:pPr>
        <w:ind w:firstLine="594" w:firstLineChars="200"/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Cs w:val="32"/>
        </w:rPr>
        <w:t>七、主要经验及做法、存在的问题和建议。</w:t>
      </w:r>
    </w:p>
    <w:p>
      <w:pPr>
        <w:ind w:firstLine="594" w:firstLineChars="200"/>
        <w:rPr>
          <w:rFonts w:hint="eastAsia" w:ascii="仿宋_GB2312" w:eastAsia="仿宋_GB2312"/>
          <w:b/>
          <w:szCs w:val="32"/>
          <w:lang w:eastAsia="zh-CN"/>
        </w:rPr>
      </w:pPr>
      <w:r>
        <w:rPr>
          <w:rFonts w:hint="eastAsia" w:ascii="仿宋_GB2312"/>
          <w:b/>
          <w:szCs w:val="32"/>
          <w:lang w:eastAsia="zh-CN"/>
        </w:rPr>
        <w:t>无</w:t>
      </w:r>
    </w:p>
    <w:p>
      <w:pPr>
        <w:ind w:firstLine="594" w:firstLineChars="200"/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Cs w:val="32"/>
        </w:rPr>
        <w:t>八、其他需说明的问题。</w:t>
      </w:r>
    </w:p>
    <w:p>
      <w:pPr>
        <w:ind w:firstLine="594" w:firstLineChars="200"/>
        <w:rPr>
          <w:rFonts w:hint="eastAsia" w:ascii="仿宋_GB2312" w:eastAsia="仿宋_GB2312"/>
          <w:b/>
          <w:szCs w:val="32"/>
          <w:lang w:eastAsia="zh-CN"/>
        </w:rPr>
      </w:pPr>
      <w:r>
        <w:rPr>
          <w:rFonts w:hint="eastAsia" w:ascii="仿宋_GB2312"/>
          <w:b/>
          <w:szCs w:val="32"/>
          <w:lang w:eastAsia="zh-CN"/>
        </w:rPr>
        <w:t>无</w:t>
      </w:r>
    </w:p>
    <w:p>
      <w:pPr>
        <w:spacing w:line="600" w:lineRule="exact"/>
        <w:rPr>
          <w:rFonts w:ascii="仿宋_GB2312"/>
          <w:sz w:val="28"/>
          <w:szCs w:val="28"/>
        </w:rPr>
      </w:pPr>
    </w:p>
    <w:p/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72A7FD7"/>
    <w:rsid w:val="1276696C"/>
    <w:rsid w:val="13456CBB"/>
    <w:rsid w:val="1E0E2C51"/>
    <w:rsid w:val="208140E4"/>
    <w:rsid w:val="217F210A"/>
    <w:rsid w:val="27D362E5"/>
    <w:rsid w:val="27D5534D"/>
    <w:rsid w:val="29CA21B4"/>
    <w:rsid w:val="2AA9388F"/>
    <w:rsid w:val="2B07381A"/>
    <w:rsid w:val="2F072C1B"/>
    <w:rsid w:val="30BE095A"/>
    <w:rsid w:val="32CB060B"/>
    <w:rsid w:val="378A5996"/>
    <w:rsid w:val="38B84623"/>
    <w:rsid w:val="3BDE34BB"/>
    <w:rsid w:val="3F250FE6"/>
    <w:rsid w:val="3FEF254A"/>
    <w:rsid w:val="43564444"/>
    <w:rsid w:val="48F76CDC"/>
    <w:rsid w:val="50024305"/>
    <w:rsid w:val="5A3C6978"/>
    <w:rsid w:val="5D1619CA"/>
    <w:rsid w:val="626E6B77"/>
    <w:rsid w:val="67600811"/>
    <w:rsid w:val="699D0550"/>
    <w:rsid w:val="6E0D2E27"/>
    <w:rsid w:val="705E3435"/>
    <w:rsid w:val="7707774A"/>
    <w:rsid w:val="77FB6C42"/>
    <w:rsid w:val="789B3B9E"/>
    <w:rsid w:val="794115C1"/>
    <w:rsid w:val="7CC513D9"/>
    <w:rsid w:val="7E24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</cp:lastModifiedBy>
  <dcterms:modified xsi:type="dcterms:W3CDTF">2023-04-04T02:44:13Z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