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  <w:t>省2021年结转节能降耗专项资金项目2022年</w:t>
      </w:r>
      <w:r>
        <w:rPr>
          <w:rFonts w:hint="eastAsia" w:ascii="方正小标宋_GBK" w:eastAsia="方正小标宋_GBK"/>
          <w:sz w:val="36"/>
          <w:szCs w:val="36"/>
        </w:rPr>
        <w:t>项目支出绩效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自评</w:t>
      </w:r>
      <w:r>
        <w:rPr>
          <w:rFonts w:hint="eastAsia" w:ascii="方正小标宋_GBK" w:eastAsia="方正小标宋_GBK"/>
          <w:sz w:val="36"/>
          <w:szCs w:val="36"/>
        </w:rPr>
        <w:t>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ind w:firstLine="594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一、基本情况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/>
          <w:szCs w:val="32"/>
          <w:lang w:eastAsia="zh-CN"/>
        </w:rPr>
        <w:t>根据《关于做好省级财政节能降耗专项资金2021年结转资金兑付工作的通知》</w:t>
      </w:r>
      <w:r>
        <w:rPr>
          <w:rFonts w:hint="eastAsia" w:ascii="仿宋_GB2312"/>
          <w:szCs w:val="32"/>
          <w:lang w:val="en-US" w:eastAsia="zh-CN"/>
        </w:rPr>
        <w:t>，对2021年纳入应建未建端系统的3家企业奖补资金18万元。</w:t>
      </w:r>
    </w:p>
    <w:p>
      <w:pPr>
        <w:ind w:firstLine="594" w:firstLineChars="200"/>
        <w:rPr>
          <w:rFonts w:hint="eastAsia" w:ascii="仿宋_GB2312"/>
          <w:szCs w:val="32"/>
          <w:lang w:val="en-US"/>
        </w:rPr>
      </w:pPr>
      <w:r>
        <w:rPr>
          <w:rFonts w:hint="eastAsia" w:ascii="仿宋_GB2312"/>
          <w:szCs w:val="32"/>
        </w:rPr>
        <w:t>（二）项目绩效目标。</w:t>
      </w:r>
      <w:r>
        <w:rPr>
          <w:rFonts w:hint="eastAsia" w:ascii="仿宋_GB2312"/>
          <w:szCs w:val="32"/>
          <w:lang w:val="en-US" w:eastAsia="zh-CN"/>
        </w:rPr>
        <w:t>根据文件补助标准，对2021年纳入应建未建端系统的3家企业奖补资金18万元。</w:t>
      </w:r>
    </w:p>
    <w:p>
      <w:pPr>
        <w:ind w:firstLine="594" w:firstLineChars="200"/>
        <w:rPr>
          <w:rFonts w:hint="eastAsia"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</w:rPr>
        <w:t>二、项目单位绩效报告情况</w:t>
      </w:r>
    </w:p>
    <w:p>
      <w:pPr>
        <w:ind w:firstLine="594" w:firstLineChars="200"/>
        <w:rPr>
          <w:rFonts w:hint="eastAsia" w:ascii="仿宋_GB2312"/>
          <w:b w:val="0"/>
          <w:bCs/>
          <w:szCs w:val="32"/>
          <w:highlight w:val="none"/>
        </w:rPr>
      </w:pPr>
      <w:r>
        <w:rPr>
          <w:rFonts w:hint="eastAsia" w:ascii="仿宋_GB2312"/>
          <w:szCs w:val="32"/>
          <w:lang w:val="en-US" w:eastAsia="zh-CN"/>
        </w:rPr>
        <w:t>对2021年纳入应建未建端系统的3家企业</w:t>
      </w:r>
      <w:r>
        <w:rPr>
          <w:rFonts w:hint="eastAsia" w:ascii="仿宋_GB2312"/>
          <w:b w:val="0"/>
          <w:bCs/>
          <w:szCs w:val="32"/>
          <w:highlight w:val="none"/>
          <w:lang w:val="en-US" w:eastAsia="zh-CN"/>
        </w:rPr>
        <w:t>进行补助。</w:t>
      </w:r>
    </w:p>
    <w:p>
      <w:pPr>
        <w:ind w:firstLine="594" w:firstLineChars="200"/>
        <w:rPr>
          <w:rFonts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</w:rPr>
        <w:t>三、绩效评价工作情况</w:t>
      </w:r>
    </w:p>
    <w:p>
      <w:pPr>
        <w:ind w:firstLine="594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（一）绩效评价目的。提高财政资金使用效益，加快项目推进力度。</w:t>
      </w:r>
      <w:r>
        <w:rPr>
          <w:rFonts w:hint="eastAsia" w:ascii="仿宋_GB2312"/>
          <w:szCs w:val="32"/>
          <w:lang w:val="en-US" w:eastAsia="zh-CN"/>
        </w:rPr>
        <w:t>强化环保低碳，提高辖区企业节能降耗</w:t>
      </w:r>
      <w:r>
        <w:rPr>
          <w:rFonts w:hint="eastAsia" w:ascii="仿宋_GB2312"/>
          <w:szCs w:val="32"/>
        </w:rPr>
        <w:t>。</w:t>
      </w:r>
    </w:p>
    <w:p>
      <w:pPr>
        <w:ind w:firstLine="594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（二）绩效评价原则、评价指标体系、评价方法。科学、合理、客观、公正；按区财政局要求设定指标体系并进行评价；业务科室自评与发改局绩效评价工作小组总评相结合。</w:t>
      </w:r>
    </w:p>
    <w:p>
      <w:pPr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（三）绩效评价工作过程。</w:t>
      </w:r>
    </w:p>
    <w:p>
      <w:pPr>
        <w:ind w:firstLine="594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符合兑付要求的企业，将企业端建设合同、或投入试运行截图证明、或省计量院验收证明等材料（扫描件）提交所在区发改局，县级发改部门对企业提交资料进行认真审核，并将审核结果、相关证明材料、资金拨付上报市发展改革委。</w:t>
      </w:r>
    </w:p>
    <w:p>
      <w:pPr>
        <w:ind w:firstLine="594" w:firstLineChars="200"/>
        <w:rPr>
          <w:rFonts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</w:rPr>
        <w:t>四、绩效评价指标分析情况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昆明丰德环保电力有限公司补助6万元；云南嘉华食品有限公司补助6万元；云南浩鑫铝箔有限公司补助6万元。共计18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万元。</w:t>
      </w:r>
    </w:p>
    <w:p>
      <w:pPr>
        <w:ind w:firstLine="594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五、综合评价情况及评价结论</w:t>
      </w:r>
      <w:r>
        <w:rPr>
          <w:rFonts w:hint="eastAsia" w:ascii="仿宋_GB2312"/>
          <w:bCs/>
          <w:szCs w:val="32"/>
        </w:rPr>
        <w:t>（附相关评分表）</w:t>
      </w:r>
      <w:r>
        <w:rPr>
          <w:rFonts w:hint="eastAsia" w:ascii="仿宋_GB2312"/>
          <w:b/>
          <w:szCs w:val="32"/>
        </w:rPr>
        <w:t>。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六、绩效评价结果应用建议</w:t>
      </w:r>
    </w:p>
    <w:p>
      <w:pPr>
        <w:ind w:firstLine="594" w:firstLineChars="200"/>
        <w:rPr>
          <w:rFonts w:hint="eastAsia" w:ascii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无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七、主要经验及做法、存在的问题和建议。</w:t>
      </w:r>
    </w:p>
    <w:p>
      <w:pPr>
        <w:ind w:firstLine="594" w:firstLineChars="200"/>
        <w:rPr>
          <w:rFonts w:hint="eastAsia" w:ascii="仿宋_GB2312" w:eastAsia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无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八、其他需说明的问题。</w:t>
      </w:r>
    </w:p>
    <w:p>
      <w:pPr>
        <w:ind w:firstLine="594" w:firstLineChars="200"/>
        <w:rPr>
          <w:rFonts w:hint="eastAsia" w:ascii="仿宋_GB2312" w:eastAsia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无</w:t>
      </w:r>
    </w:p>
    <w:p>
      <w:pPr>
        <w:spacing w:line="600" w:lineRule="exact"/>
        <w:rPr>
          <w:rFonts w:ascii="仿宋_GB2312"/>
          <w:sz w:val="28"/>
          <w:szCs w:val="28"/>
        </w:rPr>
      </w:pPr>
    </w:p>
    <w:p/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72A7FD7"/>
    <w:rsid w:val="0F940B20"/>
    <w:rsid w:val="13456CBB"/>
    <w:rsid w:val="16F201B0"/>
    <w:rsid w:val="19A51E68"/>
    <w:rsid w:val="1C70149F"/>
    <w:rsid w:val="208140E4"/>
    <w:rsid w:val="217F210A"/>
    <w:rsid w:val="222D3D0E"/>
    <w:rsid w:val="25794146"/>
    <w:rsid w:val="27D362E5"/>
    <w:rsid w:val="2AA9388F"/>
    <w:rsid w:val="2B07381A"/>
    <w:rsid w:val="2F072C1B"/>
    <w:rsid w:val="30BE095A"/>
    <w:rsid w:val="32CB060B"/>
    <w:rsid w:val="342C528C"/>
    <w:rsid w:val="35571FFF"/>
    <w:rsid w:val="378A5996"/>
    <w:rsid w:val="3966228D"/>
    <w:rsid w:val="3BB91C96"/>
    <w:rsid w:val="3BDE34BB"/>
    <w:rsid w:val="3FEF254A"/>
    <w:rsid w:val="42010BB5"/>
    <w:rsid w:val="46507C4E"/>
    <w:rsid w:val="50024305"/>
    <w:rsid w:val="5A3C6978"/>
    <w:rsid w:val="626E6B77"/>
    <w:rsid w:val="6566557D"/>
    <w:rsid w:val="67600811"/>
    <w:rsid w:val="699D0550"/>
    <w:rsid w:val="6F620C45"/>
    <w:rsid w:val="705E3435"/>
    <w:rsid w:val="737B49F7"/>
    <w:rsid w:val="7707774A"/>
    <w:rsid w:val="789B3B9E"/>
    <w:rsid w:val="7AA84B38"/>
    <w:rsid w:val="7CC513D9"/>
    <w:rsid w:val="7E2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</cp:lastModifiedBy>
  <dcterms:modified xsi:type="dcterms:W3CDTF">2023-04-04T02:52:06Z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