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highlight w:val="none"/>
          <w:lang w:val="en-US" w:eastAsia="zh-CN"/>
        </w:rPr>
        <w:t>2021年二、三季度新能源汽车充电基础设施市级建设补贴专项资金项目2022年</w:t>
      </w:r>
      <w:r>
        <w:rPr>
          <w:rFonts w:hint="eastAsia" w:ascii="方正小标宋_GBK" w:eastAsia="方正小标宋_GBK"/>
          <w:sz w:val="36"/>
          <w:szCs w:val="36"/>
        </w:rPr>
        <w:t>项目支出绩效</w:t>
      </w:r>
      <w:r>
        <w:rPr>
          <w:rFonts w:hint="eastAsia" w:ascii="方正小标宋_GBK" w:eastAsia="方正小标宋_GBK"/>
          <w:sz w:val="36"/>
          <w:szCs w:val="36"/>
          <w:lang w:eastAsia="zh-CN"/>
        </w:rPr>
        <w:t>自评</w:t>
      </w:r>
      <w:r>
        <w:rPr>
          <w:rFonts w:hint="eastAsia" w:ascii="方正小标宋_GBK" w:eastAsia="方正小标宋_GBK"/>
          <w:sz w:val="36"/>
          <w:szCs w:val="36"/>
        </w:rPr>
        <w:t>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ind w:firstLine="594" w:firstLineChars="200"/>
        <w:outlineLvl w:val="0"/>
        <w:rPr>
          <w:rFonts w:ascii="仿宋_GB2312"/>
          <w:szCs w:val="32"/>
        </w:rPr>
      </w:pPr>
      <w:r>
        <w:rPr>
          <w:rFonts w:hint="eastAsia" w:ascii="仿宋_GB2312"/>
          <w:szCs w:val="32"/>
        </w:rPr>
        <w:t>（一）</w:t>
      </w:r>
      <w:r>
        <w:rPr>
          <w:rFonts w:hint="eastAsia" w:ascii="仿宋_GB2312"/>
          <w:szCs w:val="32"/>
          <w:lang w:eastAsia="zh-CN"/>
        </w:rPr>
        <w:t>根据《昆明市财政局</w:t>
      </w:r>
      <w:r>
        <w:rPr>
          <w:rFonts w:hint="eastAsia" w:ascii="仿宋_GB2312"/>
          <w:szCs w:val="32"/>
          <w:lang w:val="en-US" w:eastAsia="zh-CN"/>
        </w:rPr>
        <w:t xml:space="preserve"> </w:t>
      </w:r>
      <w:r>
        <w:rPr>
          <w:rFonts w:hint="eastAsia" w:ascii="仿宋_GB2312"/>
          <w:szCs w:val="32"/>
          <w:lang w:eastAsia="zh-CN"/>
        </w:rPr>
        <w:t>昆明市发展和改革委员会关于下达2021年</w:t>
      </w:r>
      <w:r>
        <w:rPr>
          <w:rFonts w:hint="eastAsia" w:ascii="仿宋_GB2312"/>
          <w:szCs w:val="32"/>
          <w:lang w:val="en-US" w:eastAsia="zh-CN"/>
        </w:rPr>
        <w:t>二、三</w:t>
      </w:r>
      <w:r>
        <w:rPr>
          <w:rFonts w:hint="eastAsia" w:ascii="仿宋_GB2312"/>
          <w:szCs w:val="32"/>
          <w:lang w:eastAsia="zh-CN"/>
        </w:rPr>
        <w:t>季度新能源汽车充电基础设施市级</w:t>
      </w:r>
      <w:r>
        <w:rPr>
          <w:rFonts w:hint="eastAsia" w:ascii="仿宋_GB2312"/>
          <w:szCs w:val="32"/>
          <w:lang w:val="en-US" w:eastAsia="zh-CN"/>
        </w:rPr>
        <w:t>建设补贴专项资金</w:t>
      </w:r>
      <w:r>
        <w:rPr>
          <w:rFonts w:hint="eastAsia" w:ascii="仿宋_GB2312"/>
          <w:szCs w:val="32"/>
          <w:lang w:eastAsia="zh-CN"/>
        </w:rPr>
        <w:t>的通知》</w:t>
      </w:r>
      <w:r>
        <w:rPr>
          <w:rFonts w:hint="eastAsia" w:ascii="仿宋_GB2312"/>
          <w:szCs w:val="32"/>
          <w:lang w:val="en-US" w:eastAsia="zh-CN"/>
        </w:rPr>
        <w:t>，市级对呈贡区辖区13家充电桩建设企业补贴资金744.25万元。。</w:t>
      </w:r>
    </w:p>
    <w:p>
      <w:pPr>
        <w:ind w:firstLine="594" w:firstLineChars="200"/>
        <w:rPr>
          <w:rFonts w:ascii="仿宋_GB2312"/>
          <w:szCs w:val="32"/>
        </w:rPr>
      </w:pPr>
      <w:r>
        <w:rPr>
          <w:rFonts w:hint="eastAsia" w:ascii="仿宋_GB2312"/>
          <w:szCs w:val="32"/>
        </w:rPr>
        <w:t>（二）项目绩效目标。</w:t>
      </w:r>
      <w:r>
        <w:rPr>
          <w:rFonts w:hint="eastAsia" w:ascii="仿宋_GB2312"/>
          <w:szCs w:val="32"/>
          <w:lang w:val="en-US" w:eastAsia="zh-CN"/>
        </w:rPr>
        <w:t>根据文件补助标准，对2021年二、三季度</w:t>
      </w:r>
      <w:bookmarkStart w:id="0" w:name="_GoBack"/>
      <w:bookmarkEnd w:id="0"/>
      <w:r>
        <w:rPr>
          <w:rFonts w:hint="eastAsia" w:ascii="仿宋_GB2312"/>
          <w:szCs w:val="32"/>
          <w:lang w:val="en-US" w:eastAsia="zh-CN"/>
        </w:rPr>
        <w:t>在昆明市内建设充电桩闪电能源（云南）有限公司、云南快充新能源有限公司、云南长充新能源有限公司、云南山高新能源有限公司、昆明银电新能源有限公司、云南莹河新能源技术有限公司、云南能投智慧能源股份有限公司、昆明自动化成套集团股份有限公司、昆明蔚锐汽车销售服务有限公司等各1座充电站、昆明芳菲新能源科技有限公司2座充电站、昆明发展新能源产业投资运营有限公司3座充电站、南方电网云南电动汽车服务有限公司7座充电站、昆明中北交通旅游（集团）有限责任公司18座充电站进行充电桩建设资金补助。</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ind w:firstLine="594" w:firstLineChars="200"/>
        <w:rPr>
          <w:rFonts w:hint="eastAsia" w:ascii="仿宋_GB2312" w:hAnsi="仿宋_GB2312" w:eastAsia="仿宋_GB2312" w:cs="仿宋_GB2312"/>
          <w:szCs w:val="32"/>
        </w:rPr>
      </w:pPr>
      <w:r>
        <w:rPr>
          <w:rFonts w:hint="eastAsia" w:ascii="仿宋_GB2312"/>
          <w:szCs w:val="32"/>
          <w:lang w:val="en-US" w:eastAsia="zh-CN"/>
        </w:rPr>
        <w:t>对2021年二、三季度在昆明市内建设充电桩</w:t>
      </w:r>
      <w:r>
        <w:rPr>
          <w:rFonts w:hint="eastAsia" w:ascii="仿宋_GB2312"/>
          <w:b w:val="0"/>
          <w:bCs/>
          <w:szCs w:val="32"/>
          <w:highlight w:val="none"/>
          <w:lang w:val="en-US" w:eastAsia="zh-CN"/>
        </w:rPr>
        <w:t>企业进行补助。</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ind w:firstLine="594" w:firstLineChars="200"/>
        <w:outlineLvl w:val="0"/>
        <w:rPr>
          <w:rFonts w:hint="eastAsia" w:ascii="仿宋_GB2312"/>
          <w:szCs w:val="32"/>
          <w:highlight w:val="none"/>
        </w:rPr>
      </w:pPr>
      <w:r>
        <w:rPr>
          <w:rFonts w:hint="eastAsia" w:ascii="仿宋_GB2312"/>
          <w:szCs w:val="32"/>
          <w:highlight w:val="none"/>
        </w:rPr>
        <w:t>（一）绩效评价目的。提高财政资金使用效益，加快项目推进力度。</w:t>
      </w:r>
      <w:r>
        <w:rPr>
          <w:rFonts w:hint="eastAsia" w:ascii="仿宋_GB2312"/>
          <w:szCs w:val="32"/>
          <w:lang w:val="en-US" w:eastAsia="zh-CN"/>
        </w:rPr>
        <w:t>奖补措施</w:t>
      </w:r>
      <w:r>
        <w:rPr>
          <w:rFonts w:hint="eastAsia" w:ascii="仿宋_GB2312"/>
          <w:szCs w:val="32"/>
        </w:rPr>
        <w:t>提振了企业投建充电基础设施的积极性</w:t>
      </w:r>
      <w:r>
        <w:rPr>
          <w:rFonts w:hint="eastAsia" w:ascii="仿宋_GB2312"/>
          <w:szCs w:val="32"/>
          <w:lang w:eastAsia="zh-CN"/>
        </w:rPr>
        <w:t>，</w:t>
      </w:r>
      <w:r>
        <w:rPr>
          <w:rFonts w:hint="eastAsia" w:ascii="仿宋_GB2312"/>
          <w:szCs w:val="32"/>
        </w:rPr>
        <w:t>推动我区充电基础设施建设快速发展。</w:t>
      </w:r>
    </w:p>
    <w:p>
      <w:pPr>
        <w:ind w:firstLine="594" w:firstLineChars="200"/>
        <w:rPr>
          <w:rFonts w:hint="eastAsia" w:ascii="仿宋_GB2312"/>
          <w:szCs w:val="32"/>
          <w:highlight w:val="none"/>
        </w:rPr>
      </w:pPr>
      <w:r>
        <w:rPr>
          <w:rFonts w:hint="eastAsia" w:ascii="仿宋_GB2312"/>
          <w:szCs w:val="32"/>
          <w:highlight w:val="none"/>
        </w:rPr>
        <w:t>（二）绩效评价原则、评价指标体系、评价方法。科学、合理、客观、公正；按区财政局要求设定指标体系并进行评价；业务科室自评与发改局绩效评价工作小组总评相结合。</w:t>
      </w:r>
    </w:p>
    <w:p>
      <w:pPr>
        <w:spacing w:line="560" w:lineRule="exact"/>
        <w:ind w:firstLine="594" w:firstLineChars="200"/>
        <w:rPr>
          <w:rFonts w:hint="default" w:ascii="Times New Roman" w:hAnsi="Times New Roman" w:cs="Times New Roman"/>
          <w:szCs w:val="32"/>
          <w:highlight w:val="none"/>
        </w:rPr>
      </w:pPr>
      <w:r>
        <w:rPr>
          <w:rFonts w:hint="eastAsia" w:ascii="仿宋_GB2312"/>
          <w:szCs w:val="32"/>
          <w:highlight w:val="none"/>
        </w:rPr>
        <w:t>（三）绩效评价工作过程。</w:t>
      </w:r>
    </w:p>
    <w:p>
      <w:pPr>
        <w:topLinePunct/>
        <w:ind w:firstLine="594" w:firstLineChars="200"/>
        <w:rPr>
          <w:rFonts w:hint="eastAsia" w:ascii="仿宋_GB2312"/>
          <w:szCs w:val="32"/>
          <w:highlight w:val="none"/>
          <w:lang w:val="en-US" w:eastAsia="zh-CN"/>
        </w:rPr>
      </w:pPr>
      <w:r>
        <w:rPr>
          <w:rFonts w:hint="eastAsia" w:ascii="仿宋_GB2312"/>
          <w:szCs w:val="32"/>
          <w:highlight w:val="none"/>
          <w:lang w:val="en-US" w:eastAsia="zh-CN"/>
        </w:rPr>
        <w:t>组织区财政局、市级平台公司对充电桩进行现场核查。核查合格后按照补贴标准发放补贴。</w:t>
      </w:r>
    </w:p>
    <w:p>
      <w:pPr>
        <w:topLinePunct/>
        <w:ind w:firstLine="594" w:firstLineChars="200"/>
        <w:rPr>
          <w:rFonts w:hint="eastAsia" w:ascii="仿宋_GB2312"/>
          <w:szCs w:val="32"/>
          <w:highlight w:val="none"/>
          <w:lang w:val="en-US" w:eastAsia="zh-CN"/>
        </w:rPr>
      </w:pPr>
      <w:r>
        <w:rPr>
          <w:rFonts w:hint="eastAsia" w:ascii="黑体" w:eastAsia="黑体"/>
          <w:szCs w:val="32"/>
          <w:lang w:eastAsia="zh-CN"/>
        </w:rPr>
        <w:t>四</w:t>
      </w:r>
      <w:r>
        <w:rPr>
          <w:rFonts w:hint="eastAsia" w:ascii="黑体" w:eastAsia="黑体"/>
          <w:szCs w:val="32"/>
        </w:rPr>
        <w:t>、项目绩效情况</w:t>
      </w:r>
    </w:p>
    <w:p>
      <w:pPr>
        <w:ind w:firstLine="594" w:firstLineChars="200"/>
        <w:outlineLvl w:val="0"/>
        <w:rPr>
          <w:rFonts w:ascii="仿宋_GB2312"/>
          <w:szCs w:val="32"/>
        </w:rPr>
      </w:pPr>
      <w:r>
        <w:rPr>
          <w:rFonts w:hint="eastAsia" w:ascii="仿宋_GB2312"/>
          <w:szCs w:val="32"/>
          <w:highlight w:val="none"/>
          <w:lang w:val="en-US" w:eastAsia="zh-CN"/>
        </w:rPr>
        <w:t>闪电能源（云南）有限公司昆明谊康南路充电站充电桩数量：直流桩20个，功率4800千瓦，补助120万元，示范站补贴10万元，共计130万元；云南快充新能源有限公司【AI快充】昆明天润康园充电站电桩数量：直流桩20个，功率3200千瓦，补助80万元，示范站补贴10万元，共计90万元；云南长充新能源有限公司呈贡区高铁南站充电站充电桩数量：直流桩20个，功率2400千瓦，补助60万元，示范站补贴10万元，共计70万元；云南山高新能源有限公司昆明七彩云南第壹城充电站充电桩数量：直流桩15个，功率2400千瓦，补助60万元，示范站补贴0万元，共计60万元；昆明银电新能源有限公司银电路通充电站充电桩数量：直流桩7个，功率1600千瓦，补助40万元，示范站补贴10万元，共计50万元；云南莹河新能源技术有限公司时代俊园充电站充电桩数量：直流桩9个，功率1600千瓦，补助40万元，示范站补贴10万元，共计50万元；云南能投智慧能源股份有限公司云能充（豪生酒店）充电站充电桩数量：直流桩10个，功率1200千瓦，补助30万元，示范站补贴10万元，共计40万元；昆明自动化成套集团股份有限公司斗南花市地下停车场公共充电站充电桩数量：直流桩10个，功率1200千瓦，补助30万元，示范站补贴0万元，共计30万元；昆明蔚锐汽车销售服务有限公司蔚来换电站七彩云南第壹城充电桩数量：直流桩13个，功率520千瓦，补助13万元，示范站补贴0万元，共计13万元；昆明芳菲新能源科技有限公司和谐路充电站、中华小学充电站充电桩数量：直流桩26个，功率4900千瓦，补助120万元，交流桩8个，功率56千瓦，补助0.56万元，示范站补贴20万元，共计143.06万元；昆明发展新能源产业投资运营有限公司呈贡产业园区充电站、呈贡区人民医院充电站、呈贡区发改局充电站充电桩数量：直流桩5个，功率240千瓦，补助6万元，交流桩21个，功率147千瓦，补助1.47万元，示范站补贴0万元，共计7.47万元；南方电网云南电动汽车服务有限公司昆三中充电站、中华小学（白龙潭校区）充电站、中华小学（滇池星城校区）充电站、西南联大附属研究学院充电站、中石化呈贡服务区充电站A区、中石化呈贡服务区充电站B区、昆三中滇池星城校区充电站充电桩数量：直流桩15个，功率1620千瓦，补助40.5万元，交流桩59个，功率413千瓦，补助4.13万元，示范站补贴10万元，共计54.63万元；昆明中北交通旅游（集团）有限责任公司特警支队八大队、交警支队五大队、呈贡分局乌龙派出所、呈贡巡特警、刑侦、法制预审大队、呈贡分局白龙潭派出所、呈贡分局禁毒大队、呈贡石龙湖派出所、呈贡分局、呈贡分局看守所、呈贡分局国保大队、呈贡分局森林公安、呈贡分局经济侦查大队、呈贡分局龙街派出所、呈贡分局龙城派出所（新）、呈贡分局雨花派出所、呈贡分局吴家营派出所、呈贡分局龙城派出所（旧）充电站充电桩数量：直流桩0个，功率0千瓦，补助0万元，交流桩87个，功率609千瓦，补助6.09万元，示范站补贴0万元，共计6.09万元</w:t>
      </w:r>
      <w:r>
        <w:rPr>
          <w:rFonts w:hint="eastAsia" w:ascii="仿宋_GB2312"/>
          <w:szCs w:val="32"/>
          <w:lang w:val="en-US" w:eastAsia="zh-CN"/>
        </w:rPr>
        <w:t>。综上共计744.25万元。</w:t>
      </w:r>
    </w:p>
    <w:p>
      <w:pPr>
        <w:ind w:firstLine="594" w:firstLineChars="200"/>
        <w:rPr>
          <w:rFonts w:ascii="仿宋_GB2312"/>
          <w:b/>
          <w:szCs w:val="32"/>
        </w:rPr>
      </w:pPr>
      <w:r>
        <w:rPr>
          <w:rFonts w:hint="eastAsia" w:ascii="仿宋_GB2312"/>
          <w:b/>
          <w:szCs w:val="32"/>
        </w:rPr>
        <w:t>五、综合评价情况及评价结论</w:t>
      </w:r>
      <w:r>
        <w:rPr>
          <w:rFonts w:hint="eastAsia" w:ascii="仿宋_GB2312"/>
          <w:bCs/>
          <w:szCs w:val="32"/>
        </w:rPr>
        <w:t>（附相关评分表）</w:t>
      </w:r>
      <w:r>
        <w:rPr>
          <w:rFonts w:hint="eastAsia" w:ascii="仿宋_GB2312"/>
          <w:b/>
          <w:szCs w:val="32"/>
        </w:rPr>
        <w:t>。</w:t>
      </w:r>
    </w:p>
    <w:p>
      <w:pPr>
        <w:ind w:firstLine="594" w:firstLineChars="200"/>
        <w:rPr>
          <w:rFonts w:hint="eastAsia" w:ascii="仿宋_GB2312"/>
          <w:b/>
          <w:szCs w:val="32"/>
        </w:rPr>
      </w:pPr>
      <w:r>
        <w:rPr>
          <w:rFonts w:hint="eastAsia" w:ascii="仿宋_GB2312"/>
          <w:b/>
          <w:szCs w:val="32"/>
        </w:rPr>
        <w:t>六、绩效评价结果应用建议</w:t>
      </w:r>
    </w:p>
    <w:p>
      <w:pPr>
        <w:ind w:firstLine="594" w:firstLineChars="200"/>
        <w:rPr>
          <w:rFonts w:hint="eastAsia" w:ascii="仿宋_GB2312"/>
          <w:b/>
          <w:szCs w:val="32"/>
          <w:lang w:eastAsia="zh-CN"/>
        </w:rPr>
      </w:pPr>
      <w:r>
        <w:rPr>
          <w:rFonts w:hint="eastAsia" w:ascii="仿宋_GB2312"/>
          <w:b/>
          <w:szCs w:val="32"/>
          <w:lang w:eastAsia="zh-CN"/>
        </w:rPr>
        <w:t>无</w:t>
      </w:r>
    </w:p>
    <w:p>
      <w:pPr>
        <w:ind w:firstLine="594" w:firstLineChars="200"/>
        <w:rPr>
          <w:rFonts w:hint="eastAsia" w:ascii="仿宋_GB2312"/>
          <w:b/>
          <w:szCs w:val="32"/>
        </w:rPr>
      </w:pPr>
      <w:r>
        <w:rPr>
          <w:rFonts w:hint="eastAsia" w:ascii="仿宋_GB2312"/>
          <w:b/>
          <w:szCs w:val="32"/>
        </w:rPr>
        <w:t>七、主要经验及做法、存在的问题和建议。</w:t>
      </w:r>
    </w:p>
    <w:p>
      <w:pPr>
        <w:ind w:firstLine="594" w:firstLineChars="200"/>
        <w:rPr>
          <w:rFonts w:hint="eastAsia" w:ascii="仿宋_GB2312"/>
          <w:b/>
          <w:szCs w:val="32"/>
          <w:lang w:eastAsia="zh-CN"/>
        </w:rPr>
      </w:pPr>
      <w:r>
        <w:rPr>
          <w:rFonts w:hint="eastAsia" w:ascii="仿宋_GB2312"/>
          <w:b/>
          <w:szCs w:val="32"/>
          <w:lang w:eastAsia="zh-CN"/>
        </w:rPr>
        <w:t>无</w:t>
      </w:r>
    </w:p>
    <w:p>
      <w:pPr>
        <w:ind w:firstLine="594" w:firstLineChars="200"/>
        <w:rPr>
          <w:rFonts w:hint="eastAsia" w:ascii="仿宋_GB2312"/>
          <w:b/>
          <w:szCs w:val="32"/>
        </w:rPr>
      </w:pPr>
      <w:r>
        <w:rPr>
          <w:rFonts w:hint="eastAsia" w:ascii="仿宋_GB2312"/>
          <w:b/>
          <w:szCs w:val="32"/>
        </w:rPr>
        <w:t>八、其他需说明的问题。</w:t>
      </w:r>
    </w:p>
    <w:p>
      <w:pPr>
        <w:ind w:firstLine="594" w:firstLineChars="200"/>
        <w:rPr>
          <w:rFonts w:hint="eastAsia" w:ascii="仿宋_GB2312"/>
          <w:b/>
          <w:szCs w:val="32"/>
          <w:lang w:eastAsia="zh-CN"/>
        </w:rPr>
      </w:pPr>
      <w:r>
        <w:rPr>
          <w:rFonts w:hint="eastAsia" w:ascii="仿宋_GB2312"/>
          <w:b/>
          <w:szCs w:val="32"/>
          <w:lang w:eastAsia="zh-CN"/>
        </w:rPr>
        <w:t>无</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5702"/>
    <w:rsid w:val="05AE36CA"/>
    <w:rsid w:val="05DE64B7"/>
    <w:rsid w:val="0A357D2E"/>
    <w:rsid w:val="13456CBB"/>
    <w:rsid w:val="1DB34E59"/>
    <w:rsid w:val="21FA5D1A"/>
    <w:rsid w:val="23930311"/>
    <w:rsid w:val="2A55141D"/>
    <w:rsid w:val="2B07381A"/>
    <w:rsid w:val="332B58F1"/>
    <w:rsid w:val="378A5996"/>
    <w:rsid w:val="48BB0A33"/>
    <w:rsid w:val="4B0D31BE"/>
    <w:rsid w:val="599B17D9"/>
    <w:rsid w:val="5A3C6978"/>
    <w:rsid w:val="5A4F5A6D"/>
    <w:rsid w:val="5D9E0CFD"/>
    <w:rsid w:val="626E6B77"/>
    <w:rsid w:val="62C46477"/>
    <w:rsid w:val="67600811"/>
    <w:rsid w:val="699D0550"/>
    <w:rsid w:val="73E51B2D"/>
    <w:rsid w:val="789B3B9E"/>
    <w:rsid w:val="7EDD7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cp:lastModifiedBy>
  <dcterms:modified xsi:type="dcterms:W3CDTF">2023-04-03T08:55:54Z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