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Cs w:val="32"/>
        </w:rPr>
      </w:pPr>
      <w:r>
        <w:rPr>
          <w:rFonts w:hint="eastAsia" w:ascii="黑体" w:eastAsia="黑体"/>
          <w:szCs w:val="32"/>
        </w:rPr>
        <w:t>附件</w:t>
      </w:r>
      <w:r>
        <w:rPr>
          <w:rFonts w:hint="eastAsia" w:ascii="黑体" w:eastAsia="黑体"/>
          <w:szCs w:val="32"/>
          <w:lang w:val="en-US" w:eastAsia="zh-CN"/>
        </w:rPr>
        <w:t>4-2</w:t>
      </w:r>
      <w:r>
        <w:rPr>
          <w:rFonts w:ascii="黑体" w:eastAsia="黑体"/>
          <w:szCs w:val="32"/>
        </w:rPr>
        <w:t>:</w:t>
      </w:r>
    </w:p>
    <w:p>
      <w:pPr>
        <w:rPr>
          <w:rFonts w:ascii="黑体" w:eastAsia="黑体"/>
          <w:szCs w:val="32"/>
        </w:rPr>
      </w:pPr>
    </w:p>
    <w:p>
      <w:pPr>
        <w:spacing w:line="600" w:lineRule="exact"/>
        <w:jc w:val="center"/>
        <w:rPr>
          <w:rFonts w:ascii="方正小标宋_GBK" w:eastAsia="方正小标宋_GBK"/>
          <w:sz w:val="36"/>
          <w:szCs w:val="36"/>
        </w:rPr>
      </w:pPr>
      <w:r>
        <w:rPr>
          <w:rFonts w:hint="eastAsia" w:ascii="方正小标宋_GBK" w:eastAsia="方正小标宋_GBK"/>
          <w:sz w:val="36"/>
          <w:szCs w:val="36"/>
        </w:rPr>
        <w:t>项目支出绩效报告</w:t>
      </w:r>
    </w:p>
    <w:p>
      <w:pPr>
        <w:spacing w:line="600" w:lineRule="exact"/>
        <w:ind w:firstLine="594" w:firstLineChars="200"/>
        <w:rPr>
          <w:rFonts w:ascii="仿宋_GB2312"/>
          <w:b/>
          <w:szCs w:val="32"/>
        </w:rPr>
      </w:pPr>
    </w:p>
    <w:p>
      <w:pPr>
        <w:topLinePunct/>
        <w:ind w:firstLine="594" w:firstLineChars="200"/>
        <w:rPr>
          <w:rFonts w:ascii="黑体" w:eastAsia="黑体"/>
          <w:szCs w:val="32"/>
        </w:rPr>
      </w:pPr>
      <w:r>
        <w:rPr>
          <w:rFonts w:hint="eastAsia" w:ascii="黑体" w:eastAsia="黑体"/>
          <w:szCs w:val="32"/>
        </w:rPr>
        <w:t>一、项目基本情况</w:t>
      </w:r>
    </w:p>
    <w:p>
      <w:pPr>
        <w:topLinePunct/>
        <w:ind w:firstLine="594" w:firstLineChars="200"/>
        <w:rPr>
          <w:rFonts w:hint="eastAsia" w:ascii="仿宋_GB2312"/>
          <w:szCs w:val="32"/>
        </w:rPr>
      </w:pPr>
      <w:r>
        <w:rPr>
          <w:rFonts w:hint="eastAsia" w:ascii="仿宋_GB2312"/>
          <w:szCs w:val="32"/>
        </w:rPr>
        <w:t>（一）项目基本情况简介，包括项目基本性质、用途和主要内容、涉及范围等。</w:t>
      </w:r>
    </w:p>
    <w:p>
      <w:pPr>
        <w:topLinePunct/>
        <w:ind w:firstLine="594" w:firstLineChars="200"/>
        <w:rPr>
          <w:rFonts w:hint="eastAsia" w:ascii="仿宋_GB2312"/>
          <w:szCs w:val="32"/>
          <w:lang w:val="en-US" w:eastAsia="zh-CN"/>
        </w:rPr>
      </w:pPr>
      <w:r>
        <w:rPr>
          <w:rFonts w:hint="eastAsia" w:ascii="仿宋_GB2312"/>
          <w:szCs w:val="32"/>
          <w:lang w:val="en-US" w:eastAsia="zh-CN"/>
        </w:rPr>
        <w:t>2022年当年预算项目9个，预算金额518.81万元，上年结转批复6个，批复金额53.04万元。2022年年末预算执行项目25个，执行金额567.17万元，其中区级项目11个，执行287.35万元，市级项目5个，执行金额167.4万元，省级项目6个，执行金额108.85万元，中央级项目3个，执行金额3.57万元。</w:t>
      </w:r>
    </w:p>
    <w:p>
      <w:pPr>
        <w:pStyle w:val="5"/>
        <w:keepNext w:val="0"/>
        <w:keepLines w:val="0"/>
        <w:pageBreakBefore w:val="0"/>
        <w:widowControl/>
        <w:kinsoku/>
        <w:wordWrap/>
        <w:overflowPunct/>
        <w:topLinePunct w:val="0"/>
        <w:autoSpaceDE/>
        <w:autoSpaceDN/>
        <w:bidi w:val="0"/>
        <w:adjustRightInd/>
        <w:snapToGrid/>
        <w:spacing w:line="548" w:lineRule="exact"/>
        <w:ind w:left="0" w:leftChars="0" w:right="0" w:rightChars="0" w:firstLine="597" w:firstLineChars="201"/>
        <w:jc w:val="both"/>
        <w:textAlignment w:val="baseline"/>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项目基本用途与内容：</w:t>
      </w:r>
    </w:p>
    <w:p>
      <w:pPr>
        <w:pStyle w:val="5"/>
        <w:keepNext w:val="0"/>
        <w:keepLines w:val="0"/>
        <w:pageBreakBefore w:val="0"/>
        <w:widowControl/>
        <w:kinsoku/>
        <w:wordWrap/>
        <w:overflowPunct/>
        <w:topLinePunct w:val="0"/>
        <w:autoSpaceDE/>
        <w:autoSpaceDN/>
        <w:bidi w:val="0"/>
        <w:adjustRightInd/>
        <w:snapToGrid/>
        <w:spacing w:line="548" w:lineRule="exact"/>
        <w:ind w:left="0" w:leftChars="0" w:right="0" w:rightChars="0" w:firstLine="597" w:firstLineChars="201"/>
        <w:jc w:val="both"/>
        <w:textAlignment w:val="baseline"/>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sz w:val="32"/>
          <w:szCs w:val="32"/>
          <w:lang w:val="en-US" w:eastAsia="zh-CN"/>
        </w:rPr>
        <w:t>第一，</w:t>
      </w:r>
      <w:r>
        <w:rPr>
          <w:rFonts w:hint="eastAsia" w:ascii="仿宋_GB2312" w:hAnsi="仿宋_GB2312" w:eastAsia="仿宋_GB2312" w:cs="仿宋_GB2312"/>
          <w:color w:val="auto"/>
          <w:kern w:val="2"/>
          <w:sz w:val="32"/>
          <w:szCs w:val="32"/>
          <w:lang w:val="en-US" w:eastAsia="zh-CN" w:bidi="ar-SA"/>
        </w:rPr>
        <w:t>开展学习调研。继续抓好习近平关于加强和改进统一战线工作的重要思想、党的十九大精神以及《中国共产党统一战线工作条例》的学习贯彻，找差距、补短板、强弱项，深入调查研究，广泛征求意见建议，着力推动解决制约统战工作发展的重点难点问题。</w:t>
      </w:r>
    </w:p>
    <w:p>
      <w:pPr>
        <w:pStyle w:val="5"/>
        <w:keepNext w:val="0"/>
        <w:keepLines w:val="0"/>
        <w:pageBreakBefore w:val="0"/>
        <w:widowControl/>
        <w:kinsoku/>
        <w:wordWrap/>
        <w:overflowPunct/>
        <w:topLinePunct w:val="0"/>
        <w:autoSpaceDE/>
        <w:autoSpaceDN/>
        <w:bidi w:val="0"/>
        <w:adjustRightInd/>
        <w:snapToGrid/>
        <w:spacing w:line="548" w:lineRule="exact"/>
        <w:ind w:left="0" w:leftChars="0" w:right="0" w:rightChars="0" w:firstLine="597" w:firstLineChars="201"/>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w:t>
      </w:r>
      <w:r>
        <w:rPr>
          <w:rFonts w:hint="eastAsia" w:ascii="仿宋_GB2312" w:hAnsi="仿宋_GB2312" w:eastAsia="仿宋_GB2312" w:cs="仿宋_GB2312"/>
          <w:color w:val="auto"/>
          <w:sz w:val="32"/>
          <w:szCs w:val="32"/>
          <w:lang w:val="en-US" w:eastAsia="zh-CN"/>
        </w:rPr>
        <w:t>推进多党合作。完成党外政协委员协商工作，继续做好党外代表人士储。开展好政党协商工作。</w:t>
      </w:r>
    </w:p>
    <w:p>
      <w:pPr>
        <w:pStyle w:val="5"/>
        <w:keepNext w:val="0"/>
        <w:keepLines w:val="0"/>
        <w:pageBreakBefore w:val="0"/>
        <w:widowControl w:val="0"/>
        <w:kinsoku/>
        <w:wordWrap/>
        <w:overflowPunct/>
        <w:topLinePunct w:val="0"/>
        <w:autoSpaceDE/>
        <w:autoSpaceDN/>
        <w:bidi w:val="0"/>
        <w:adjustRightInd/>
        <w:snapToGrid/>
        <w:spacing w:line="548" w:lineRule="exac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sz w:val="32"/>
          <w:szCs w:val="32"/>
          <w:lang w:val="en-US" w:eastAsia="zh-CN"/>
        </w:rPr>
        <w:t>第三，</w:t>
      </w:r>
      <w:r>
        <w:rPr>
          <w:rFonts w:hint="eastAsia" w:ascii="仿宋_GB2312" w:hAnsi="仿宋_GB2312" w:eastAsia="仿宋_GB2312" w:cs="仿宋_GB2312"/>
          <w:snapToGrid w:val="0"/>
          <w:color w:val="auto"/>
          <w:sz w:val="32"/>
          <w:szCs w:val="32"/>
          <w:lang w:eastAsia="zh-CN"/>
        </w:rPr>
        <w:t>以</w:t>
      </w:r>
      <w:r>
        <w:rPr>
          <w:rFonts w:hint="eastAsia" w:ascii="仿宋_GB2312" w:hAnsi="仿宋_GB2312" w:eastAsia="仿宋_GB2312" w:cs="仿宋_GB2312"/>
          <w:b w:val="0"/>
          <w:bCs/>
          <w:color w:val="auto"/>
          <w:sz w:val="32"/>
          <w:szCs w:val="32"/>
          <w:lang w:val="en-US" w:eastAsia="zh-CN"/>
        </w:rPr>
        <w:t>铸牢中华民族共同体意识为主线，巩固民族团结进</w:t>
      </w:r>
      <w:r>
        <w:rPr>
          <w:rFonts w:hint="eastAsia" w:ascii="仿宋_GB2312" w:hAnsi="仿宋_GB2312" w:eastAsia="仿宋_GB2312" w:cs="仿宋_GB2312"/>
          <w:color w:val="auto"/>
          <w:kern w:val="2"/>
          <w:sz w:val="32"/>
          <w:szCs w:val="32"/>
          <w:lang w:val="en-US" w:eastAsia="zh-CN" w:bidi="ar-SA"/>
        </w:rPr>
        <w:t>步良好局面；坚持我国宗教中国化方向，认真贯彻落实《宗教事务条例》，依法加强宗教事务管理，积极引导宗教与社会主义社会相适应。</w:t>
      </w:r>
    </w:p>
    <w:p>
      <w:pPr>
        <w:pStyle w:val="5"/>
        <w:keepNext w:val="0"/>
        <w:keepLines w:val="0"/>
        <w:pageBreakBefore w:val="0"/>
        <w:widowControl w:val="0"/>
        <w:numPr>
          <w:ilvl w:val="0"/>
          <w:numId w:val="0"/>
        </w:numPr>
        <w:kinsoku/>
        <w:wordWrap/>
        <w:topLinePunct w:val="0"/>
        <w:autoSpaceDE/>
        <w:autoSpaceDN/>
        <w:bidi w:val="0"/>
        <w:snapToGrid/>
        <w:spacing w:line="560" w:lineRule="exact"/>
        <w:ind w:firstLine="594"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sz w:val="32"/>
          <w:szCs w:val="32"/>
          <w:lang w:val="en-US" w:eastAsia="zh-CN"/>
        </w:rPr>
        <w:t>第四，</w:t>
      </w:r>
      <w:r>
        <w:rPr>
          <w:rFonts w:hint="eastAsia" w:ascii="仿宋_GB2312" w:hAnsi="仿宋_GB2312" w:eastAsia="仿宋_GB2312" w:cs="仿宋_GB2312"/>
          <w:b w:val="0"/>
          <w:bCs/>
          <w:sz w:val="32"/>
          <w:szCs w:val="32"/>
          <w:lang w:val="en-US" w:eastAsia="zh-CN"/>
        </w:rPr>
        <w:t>加强统一战线各领域风险防控，聚焦民族、宗教和意识形态工作领域，认真梳理排查风险隐患，牢牢守住不发生系统性区域性风险的底线。</w:t>
      </w:r>
    </w:p>
    <w:p>
      <w:pPr>
        <w:pStyle w:val="5"/>
        <w:keepNext w:val="0"/>
        <w:keepLines w:val="0"/>
        <w:pageBreakBefore w:val="0"/>
        <w:widowControl w:val="0"/>
        <w:kinsoku/>
        <w:wordWrap/>
        <w:overflowPunct/>
        <w:topLinePunct w:val="0"/>
        <w:autoSpaceDE/>
        <w:autoSpaceDN/>
        <w:bidi w:val="0"/>
        <w:adjustRightInd/>
        <w:snapToGrid/>
        <w:spacing w:line="548" w:lineRule="exac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第五，</w:t>
      </w:r>
      <w:r>
        <w:rPr>
          <w:rFonts w:hint="eastAsia" w:ascii="仿宋_GB2312" w:hAnsi="仿宋_GB2312" w:eastAsia="仿宋_GB2312" w:cs="仿宋_GB2312"/>
          <w:b w:val="0"/>
          <w:bCs/>
          <w:color w:val="auto"/>
          <w:sz w:val="32"/>
          <w:szCs w:val="32"/>
          <w:lang w:val="en-US" w:eastAsia="zh-CN"/>
        </w:rPr>
        <w:t>巩固全省“五好县级工商联”成果，争取创建全国“五好县级工商联”。完成政协换届工商联界别组政协委员初步人选以及区工商联第二届执行委员会换届工作。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94" w:firstLineChars="200"/>
        <w:textAlignment w:val="auto"/>
        <w:rPr>
          <w:rStyle w:val="7"/>
          <w:rFonts w:hint="eastAsia" w:ascii="仿宋_GB2312" w:hAnsi="仿宋_GB2312" w:eastAsia="仿宋_GB2312" w:cs="仿宋_GB2312"/>
          <w:kern w:val="2"/>
          <w:sz w:val="32"/>
          <w:szCs w:val="32"/>
          <w:lang w:val="en-US" w:eastAsia="zh-CN" w:bidi="ar-SA"/>
        </w:rPr>
      </w:pPr>
      <w:r>
        <w:rPr>
          <w:rStyle w:val="7"/>
          <w:rFonts w:hint="eastAsia" w:ascii="仿宋_GB2312" w:hAnsi="仿宋_GB2312" w:eastAsia="仿宋_GB2312" w:cs="仿宋_GB2312"/>
          <w:b/>
          <w:bCs/>
          <w:color w:val="auto"/>
          <w:kern w:val="2"/>
          <w:sz w:val="32"/>
          <w:szCs w:val="32"/>
          <w:lang w:val="en-US" w:eastAsia="zh-CN" w:bidi="ar-SA"/>
        </w:rPr>
        <w:t>第六，</w:t>
      </w:r>
      <w:r>
        <w:rPr>
          <w:rFonts w:hint="eastAsia" w:ascii="仿宋_GB2312" w:hAnsi="仿宋_GB2312" w:eastAsia="仿宋_GB2312" w:cs="仿宋_GB2312"/>
          <w:b w:val="0"/>
          <w:bCs/>
          <w:color w:val="auto"/>
          <w:kern w:val="0"/>
          <w:sz w:val="32"/>
          <w:szCs w:val="32"/>
          <w:lang w:val="en-US" w:eastAsia="zh-CN" w:bidi="ar-SA"/>
        </w:rPr>
        <w:t>围绕同心大讲堂、“春城新能量”，项目化支持新的社会阶层人士各站点开展形式多样的活动，团结联系新阶层人士、服务地方经济社会发展。</w:t>
      </w:r>
    </w:p>
    <w:p>
      <w:pPr>
        <w:pStyle w:val="5"/>
        <w:keepNext w:val="0"/>
        <w:keepLines w:val="0"/>
        <w:pageBreakBefore w:val="0"/>
        <w:widowControl/>
        <w:numPr>
          <w:ilvl w:val="0"/>
          <w:numId w:val="0"/>
        </w:numPr>
        <w:kinsoku/>
        <w:wordWrap/>
        <w:overflowPunct/>
        <w:topLinePunct w:val="0"/>
        <w:autoSpaceDE/>
        <w:autoSpaceDN/>
        <w:bidi w:val="0"/>
        <w:adjustRightInd/>
        <w:snapToGrid/>
        <w:spacing w:line="548" w:lineRule="exact"/>
        <w:ind w:right="0" w:rightChars="0" w:firstLine="640"/>
        <w:jc w:val="both"/>
        <w:textAlignment w:val="baseline"/>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val="0"/>
          <w:sz w:val="32"/>
          <w:szCs w:val="32"/>
          <w:lang w:val="en-US" w:eastAsia="zh-CN"/>
        </w:rPr>
        <w:t>第七，</w:t>
      </w:r>
      <w:r>
        <w:rPr>
          <w:rStyle w:val="7"/>
          <w:rFonts w:hint="eastAsia" w:ascii="仿宋_GB2312" w:hAnsi="仿宋_GB2312" w:eastAsia="仿宋_GB2312" w:cs="仿宋_GB2312"/>
          <w:color w:val="auto"/>
          <w:kern w:val="2"/>
          <w:sz w:val="32"/>
          <w:szCs w:val="32"/>
          <w:lang w:val="en-US" w:eastAsia="zh-CN" w:bidi="ar-SA"/>
        </w:rPr>
        <w:t>继续做好港澳台侨争取人心工作。开展走访慰问，举办联谊活动，密切联系；妥善解决涉台涉侨相关诉求；以花为媒，继续开展“山海花语——昆台花植设计嘉年华”线上线下交流活动，</w:t>
      </w:r>
      <w:r>
        <w:rPr>
          <w:rFonts w:hint="eastAsia" w:ascii="仿宋_GB2312" w:hAnsi="仿宋_GB2312" w:eastAsia="仿宋_GB2312" w:cs="仿宋_GB2312"/>
          <w:color w:val="auto"/>
          <w:sz w:val="32"/>
          <w:szCs w:val="32"/>
          <w:lang w:eastAsia="zh-CN"/>
        </w:rPr>
        <w:t>加强两岸交流与合作。</w:t>
      </w:r>
    </w:p>
    <w:p>
      <w:pPr>
        <w:topLinePunct/>
        <w:ind w:firstLine="594" w:firstLineChars="200"/>
        <w:rPr>
          <w:rFonts w:hint="default" w:ascii="仿宋_GB2312"/>
          <w:szCs w:val="32"/>
          <w:lang w:val="en-US" w:eastAsia="zh-CN"/>
        </w:rPr>
      </w:pPr>
      <w:r>
        <w:rPr>
          <w:rFonts w:hint="eastAsia" w:ascii="仿宋_GB2312" w:hAnsi="仿宋_GB2312" w:eastAsia="仿宋_GB2312" w:cs="仿宋_GB2312"/>
          <w:b/>
          <w:bCs/>
          <w:color w:val="auto"/>
          <w:sz w:val="32"/>
          <w:szCs w:val="32"/>
          <w:lang w:eastAsia="zh-CN"/>
        </w:rPr>
        <w:t>第八，</w:t>
      </w:r>
      <w:r>
        <w:rPr>
          <w:rStyle w:val="7"/>
          <w:rFonts w:hint="eastAsia" w:ascii="仿宋_GB2312" w:hAnsi="仿宋_GB2312" w:eastAsia="仿宋_GB2312" w:cs="仿宋_GB2312"/>
          <w:color w:val="auto"/>
          <w:kern w:val="2"/>
          <w:sz w:val="32"/>
          <w:szCs w:val="32"/>
          <w:lang w:val="en-US" w:eastAsia="zh-CN" w:bidi="ar-SA"/>
        </w:rPr>
        <w:t>加强校地合作共建，助力呈贡区建设现代科教创新城。</w:t>
      </w:r>
    </w:p>
    <w:p>
      <w:pPr>
        <w:topLinePunct/>
        <w:ind w:firstLine="594" w:firstLineChars="200"/>
        <w:rPr>
          <w:rFonts w:hint="eastAsia" w:ascii="仿宋_GB2312"/>
          <w:szCs w:val="32"/>
        </w:rPr>
      </w:pPr>
      <w:r>
        <w:rPr>
          <w:rFonts w:hint="eastAsia" w:ascii="仿宋_GB2312"/>
          <w:szCs w:val="32"/>
        </w:rPr>
        <w:t>（二）绩效目标设定及指标完成情况。</w:t>
      </w:r>
    </w:p>
    <w:p>
      <w:pPr>
        <w:pStyle w:val="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区级预算项目如下：</w:t>
      </w:r>
    </w:p>
    <w:p>
      <w:pPr>
        <w:pStyle w:val="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1、2022年城市民族经费预算资金92.7万元，实际执行21.31万元，执行率22.99万元。</w:t>
      </w:r>
    </w:p>
    <w:p>
      <w:pPr>
        <w:pStyle w:val="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2、2022年办理代表建议专项资金追加资金开支10万元。</w:t>
      </w:r>
    </w:p>
    <w:p>
      <w:pPr>
        <w:pStyle w:val="5"/>
        <w:numPr>
          <w:ilvl w:val="0"/>
          <w:numId w:val="1"/>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度假区（大渔片区）社会事务（民族宗教类）经费预算3万元，实际执行3万元，执行率100%。</w:t>
      </w:r>
    </w:p>
    <w:p>
      <w:pPr>
        <w:pStyle w:val="5"/>
        <w:numPr>
          <w:ilvl w:val="0"/>
          <w:numId w:val="1"/>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高新区（马金铺）片区社会事务（民族宗教类）经费预算13.56万元，实际执行13.56万元，执行率100%。</w:t>
      </w:r>
    </w:p>
    <w:p>
      <w:pPr>
        <w:pStyle w:val="5"/>
        <w:numPr>
          <w:ilvl w:val="0"/>
          <w:numId w:val="1"/>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巩固提升民族团结进步示范市创建成果经费预算96万元，实际执行77万元，执行率80.21%。</w:t>
      </w:r>
    </w:p>
    <w:p>
      <w:pPr>
        <w:pStyle w:val="5"/>
        <w:numPr>
          <w:ilvl w:val="0"/>
          <w:numId w:val="1"/>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宗教管理经费预算93.1万元，实际执行57.69万元，执行率61.97%。</w:t>
      </w:r>
    </w:p>
    <w:p>
      <w:pPr>
        <w:pStyle w:val="5"/>
        <w:numPr>
          <w:ilvl w:val="0"/>
          <w:numId w:val="1"/>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省级民间信仰试点经费预算40万元，实际执行10万元，执行率25%。</w:t>
      </w:r>
    </w:p>
    <w:p>
      <w:pPr>
        <w:pStyle w:val="5"/>
        <w:numPr>
          <w:ilvl w:val="0"/>
          <w:numId w:val="1"/>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新的社会阶层人士和网络人士经费预算43万元，实际执行11.98万元，执行率27.86%。</w:t>
      </w:r>
    </w:p>
    <w:p>
      <w:pPr>
        <w:pStyle w:val="5"/>
        <w:numPr>
          <w:ilvl w:val="0"/>
          <w:numId w:val="1"/>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新时期统战经费预算87.45万元，实际执行44.62万元，执行率51.02%。</w:t>
      </w:r>
    </w:p>
    <w:p>
      <w:pPr>
        <w:pStyle w:val="5"/>
        <w:numPr>
          <w:ilvl w:val="0"/>
          <w:numId w:val="1"/>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呈贡区与驻呈高校合作共建经费预算50万元，实际执行38万元，执行率76%。</w:t>
      </w:r>
    </w:p>
    <w:p>
      <w:pPr>
        <w:pStyle w:val="5"/>
        <w:numPr>
          <w:ilvl w:val="0"/>
          <w:numId w:val="1"/>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社会治理党工委党建经费经费执行支付0.18万元。</w:t>
      </w:r>
    </w:p>
    <w:p>
      <w:pPr>
        <w:pStyle w:val="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市级项目开展如下：</w:t>
      </w:r>
    </w:p>
    <w:p>
      <w:pPr>
        <w:pStyle w:val="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12、2022年市级民族宗教专项资金下达支付120万元。</w:t>
      </w:r>
    </w:p>
    <w:p>
      <w:pPr>
        <w:pStyle w:val="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13、2022年市级第十七届两岸青年七彩云南联谊活动周经费支付1万元。</w:t>
      </w:r>
    </w:p>
    <w:p>
      <w:pPr>
        <w:pStyle w:val="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14、2022年双百计划全市困难归侨侨眷帮扶经费支付0.24万元。</w:t>
      </w:r>
    </w:p>
    <w:p>
      <w:pPr>
        <w:pStyle w:val="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15、2021年市级阿式风格清真寺补助资金支付41.16万元。</w:t>
      </w:r>
    </w:p>
    <w:p>
      <w:pPr>
        <w:pStyle w:val="5"/>
        <w:numPr>
          <w:ilvl w:val="0"/>
          <w:numId w:val="2"/>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市级下达2021年春融同心昆明市统战基地创建工作经费5万元。</w:t>
      </w:r>
    </w:p>
    <w:p>
      <w:pPr>
        <w:pStyle w:val="5"/>
        <w:rPr>
          <w:rFonts w:hint="eastAsia" w:ascii="仿宋_GB2312"/>
          <w:szCs w:val="32"/>
          <w:lang w:val="en-US" w:eastAsia="zh-CN"/>
        </w:rPr>
      </w:pPr>
      <w:r>
        <w:rPr>
          <w:rFonts w:hint="eastAsia" w:ascii="仿宋_GB2312"/>
          <w:szCs w:val="32"/>
          <w:lang w:val="en-US" w:eastAsia="zh-CN"/>
        </w:rPr>
        <w:t>省级项目开展如下：</w:t>
      </w:r>
    </w:p>
    <w:p>
      <w:pPr>
        <w:pStyle w:val="5"/>
        <w:numPr>
          <w:ilvl w:val="0"/>
          <w:numId w:val="2"/>
        </w:numPr>
        <w:ind w:left="0" w:leftChars="0" w:firstLine="600" w:firstLineChars="20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少数民族代表人士对下转移支付工作经费支付2万元。</w:t>
      </w:r>
    </w:p>
    <w:p>
      <w:pPr>
        <w:pStyle w:val="5"/>
        <w:numPr>
          <w:ilvl w:val="0"/>
          <w:numId w:val="2"/>
        </w:numPr>
        <w:ind w:left="0" w:leftChars="0" w:firstLine="600" w:firstLineChars="202"/>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昆明市阿式风格清真寺改造省级补助资金</w:t>
      </w:r>
      <w:r>
        <w:rPr>
          <w:rFonts w:hint="eastAsia" w:ascii="仿宋_GB2312" w:hAnsi="仿宋_GB2312" w:eastAsia="仿宋_GB2312" w:cs="仿宋_GB2312"/>
          <w:kern w:val="2"/>
          <w:sz w:val="32"/>
          <w:szCs w:val="32"/>
          <w:lang w:val="en-US" w:eastAsia="zh-CN" w:bidi="ar-SA"/>
        </w:rPr>
        <w:t>支付48.85万元。</w:t>
      </w:r>
    </w:p>
    <w:p>
      <w:pPr>
        <w:pStyle w:val="5"/>
        <w:numPr>
          <w:ilvl w:val="0"/>
          <w:numId w:val="2"/>
        </w:numPr>
        <w:ind w:left="0" w:leftChars="0" w:firstLine="600" w:firstLineChars="202"/>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2022年省级统战专项资金</w:t>
      </w:r>
      <w:r>
        <w:rPr>
          <w:rFonts w:hint="eastAsia" w:ascii="仿宋_GB2312" w:hAnsi="仿宋_GB2312" w:eastAsia="仿宋_GB2312" w:cs="仿宋_GB2312"/>
          <w:kern w:val="2"/>
          <w:sz w:val="32"/>
          <w:szCs w:val="32"/>
          <w:lang w:val="en-US" w:eastAsia="zh-CN" w:bidi="ar-SA"/>
        </w:rPr>
        <w:t>支付11万元。</w:t>
      </w:r>
    </w:p>
    <w:p>
      <w:pPr>
        <w:pStyle w:val="5"/>
        <w:numPr>
          <w:ilvl w:val="0"/>
          <w:numId w:val="2"/>
        </w:numPr>
        <w:ind w:left="0" w:leftChars="0" w:firstLine="600" w:firstLineChars="202"/>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2022年（少数民族发展任务）省级财政衔接推进乡村振兴补助资金</w:t>
      </w:r>
      <w:r>
        <w:rPr>
          <w:rFonts w:hint="eastAsia" w:ascii="仿宋_GB2312" w:hAnsi="仿宋_GB2312" w:eastAsia="仿宋_GB2312" w:cs="仿宋_GB2312"/>
          <w:kern w:val="2"/>
          <w:sz w:val="32"/>
          <w:szCs w:val="32"/>
          <w:lang w:val="en-US" w:eastAsia="zh-CN" w:bidi="ar-SA"/>
        </w:rPr>
        <w:t>支付12万元。</w:t>
      </w:r>
    </w:p>
    <w:p>
      <w:pPr>
        <w:pStyle w:val="5"/>
        <w:numPr>
          <w:ilvl w:val="0"/>
          <w:numId w:val="2"/>
        </w:numPr>
        <w:ind w:left="0" w:leftChars="0" w:firstLine="600" w:firstLineChars="202"/>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2022年（民族团结保障）省级财政衔接推进乡村振兴补助资金</w:t>
      </w:r>
      <w:r>
        <w:rPr>
          <w:rFonts w:hint="eastAsia" w:ascii="仿宋_GB2312" w:hAnsi="仿宋_GB2312" w:eastAsia="仿宋_GB2312" w:cs="仿宋_GB2312"/>
          <w:kern w:val="2"/>
          <w:sz w:val="32"/>
          <w:szCs w:val="32"/>
          <w:lang w:val="en-US" w:eastAsia="zh-CN" w:bidi="ar-SA"/>
        </w:rPr>
        <w:t>支付10万元。</w:t>
      </w:r>
    </w:p>
    <w:p>
      <w:pPr>
        <w:pStyle w:val="5"/>
        <w:numPr>
          <w:ilvl w:val="0"/>
          <w:numId w:val="2"/>
        </w:numPr>
        <w:ind w:left="0" w:leftChars="0" w:firstLine="600" w:firstLineChars="202"/>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2022年省级民族团结保障经费</w:t>
      </w:r>
      <w:r>
        <w:rPr>
          <w:rFonts w:hint="eastAsia" w:ascii="仿宋_GB2312" w:hAnsi="仿宋_GB2312" w:eastAsia="仿宋_GB2312" w:cs="仿宋_GB2312"/>
          <w:kern w:val="2"/>
          <w:sz w:val="32"/>
          <w:szCs w:val="32"/>
          <w:lang w:val="en-US" w:eastAsia="zh-CN" w:bidi="ar-SA"/>
        </w:rPr>
        <w:t>支付28万元。</w:t>
      </w:r>
    </w:p>
    <w:p>
      <w:pPr>
        <w:pStyle w:val="5"/>
        <w:numPr>
          <w:ilvl w:val="0"/>
          <w:numId w:val="0"/>
        </w:numPr>
        <w:ind w:leftChars="202"/>
        <w:rPr>
          <w:rFonts w:hint="eastAsia" w:ascii="仿宋_GB2312"/>
          <w:szCs w:val="32"/>
          <w:lang w:val="en-US" w:eastAsia="zh-CN"/>
        </w:rPr>
      </w:pPr>
      <w:r>
        <w:rPr>
          <w:rFonts w:hint="eastAsia" w:ascii="仿宋_GB2312" w:hAnsi="仿宋_GB2312" w:eastAsia="仿宋_GB2312" w:cs="仿宋_GB2312"/>
          <w:kern w:val="2"/>
          <w:sz w:val="32"/>
          <w:szCs w:val="32"/>
          <w:lang w:val="en-US" w:eastAsia="zh-CN" w:bidi="ar-SA"/>
        </w:rPr>
        <w:t>中央项目开展如下：</w:t>
      </w:r>
    </w:p>
    <w:p>
      <w:pPr>
        <w:pStyle w:val="5"/>
        <w:numPr>
          <w:ilvl w:val="0"/>
          <w:numId w:val="2"/>
        </w:numPr>
        <w:ind w:left="0" w:leftChars="0" w:firstLine="600" w:firstLineChars="20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2021年下达中央华侨事务费暖冬行动“困难归侨侨眷慰问金经费支付0.1万元。</w:t>
      </w:r>
    </w:p>
    <w:p>
      <w:pPr>
        <w:pStyle w:val="5"/>
        <w:numPr>
          <w:ilvl w:val="0"/>
          <w:numId w:val="2"/>
        </w:numPr>
        <w:ind w:left="0" w:leftChars="0" w:firstLine="600" w:firstLineChars="20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2021年中央华侨事务经费支付3.27万元。</w:t>
      </w:r>
    </w:p>
    <w:p>
      <w:pPr>
        <w:pStyle w:val="5"/>
        <w:numPr>
          <w:ilvl w:val="0"/>
          <w:numId w:val="2"/>
        </w:numPr>
        <w:ind w:left="0" w:leftChars="0" w:firstLine="600" w:firstLineChars="202"/>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2022年中央华侨事务经费支付0.2万元。</w:t>
      </w:r>
    </w:p>
    <w:p>
      <w:pPr>
        <w:topLinePunct/>
        <w:ind w:firstLine="594" w:firstLineChars="200"/>
        <w:rPr>
          <w:rFonts w:hint="eastAsia" w:ascii="黑体" w:eastAsia="黑体"/>
          <w:szCs w:val="32"/>
        </w:rPr>
      </w:pPr>
      <w:r>
        <w:rPr>
          <w:rFonts w:hint="eastAsia" w:ascii="黑体" w:eastAsia="黑体"/>
          <w:szCs w:val="32"/>
        </w:rPr>
        <w:t>二、</w:t>
      </w:r>
      <w:r>
        <w:rPr>
          <w:rFonts w:hint="eastAsia" w:ascii="黑体" w:eastAsia="黑体"/>
          <w:szCs w:val="32"/>
          <w:lang w:eastAsia="zh-CN"/>
        </w:rPr>
        <w:t>项目资金使用及管理情况</w:t>
      </w:r>
    </w:p>
    <w:p>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594" w:firstLineChars="200"/>
        <w:jc w:val="both"/>
        <w:textAlignment w:val="auto"/>
        <w:outlineLvl w:val="9"/>
        <w:rPr>
          <w:rFonts w:hint="eastAsia" w:ascii="仿宋_GB2312" w:hAnsi="仿宋_GB2312" w:cs="仿宋_GB2312"/>
          <w:szCs w:val="32"/>
          <w:lang w:eastAsia="zh-CN"/>
        </w:rPr>
      </w:pPr>
      <w:r>
        <w:rPr>
          <w:rFonts w:hint="eastAsia" w:ascii="仿宋_GB2312" w:hAnsi="仿宋_GB2312" w:eastAsia="仿宋_GB2312" w:cs="仿宋_GB2312"/>
          <w:szCs w:val="32"/>
        </w:rPr>
        <w:t>项目资金（包括公共财政预算资金、政府性基金、财政专户资金、自筹资金等）安排落实、总投入等情况分析</w:t>
      </w:r>
      <w:r>
        <w:rPr>
          <w:rFonts w:hint="eastAsia" w:ascii="仿宋_GB2312" w:hAnsi="仿宋_GB2312" w:cs="仿宋_GB2312"/>
          <w:szCs w:val="32"/>
          <w:lang w:eastAsia="zh-CN"/>
        </w:rPr>
        <w:t>。</w:t>
      </w:r>
      <w:r>
        <w:rPr>
          <w:rFonts w:hint="eastAsia" w:ascii="仿宋_GB2312" w:hAnsi="仿宋_GB2312" w:eastAsia="仿宋_GB2312" w:cs="仿宋_GB2312"/>
          <w:szCs w:val="32"/>
        </w:rPr>
        <w:t>项目资金（主要是指财政</w:t>
      </w:r>
      <w:r>
        <w:rPr>
          <w:rFonts w:hint="eastAsia" w:ascii="仿宋_GB2312" w:hAnsi="仿宋_GB2312" w:cs="仿宋_GB2312"/>
          <w:szCs w:val="32"/>
          <w:lang w:eastAsia="zh-CN"/>
        </w:rPr>
        <w:t>拨款</w:t>
      </w:r>
      <w:r>
        <w:rPr>
          <w:rFonts w:hint="eastAsia" w:ascii="仿宋_GB2312" w:hAnsi="仿宋_GB2312" w:eastAsia="仿宋_GB2312" w:cs="仿宋_GB2312"/>
          <w:szCs w:val="32"/>
        </w:rPr>
        <w:t>）实际使用情况分析。</w:t>
      </w:r>
      <w:r>
        <w:rPr>
          <w:rFonts w:hint="eastAsia" w:ascii="仿宋_GB2312" w:hAnsi="仿宋_GB2312" w:cs="仿宋_GB2312"/>
          <w:szCs w:val="32"/>
          <w:lang w:eastAsia="zh-CN"/>
        </w:rPr>
        <w:t>项目资金管理情况（包括管理制度、办法的制订及执行情况）分析。</w:t>
      </w:r>
    </w:p>
    <w:p>
      <w:pPr>
        <w:pStyle w:val="5"/>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2022年项目资金年初安排518.81万元，实际总投入使用567.17万元，一般公共财政预算资金567.17万元，资金投入包括中央、省、市、区级四级经费。根据内部控制管理办法及项目实施管理方案开展项目，由项目负责人牵头实施，项目领导小组监督管理。</w:t>
      </w:r>
    </w:p>
    <w:p>
      <w:pPr>
        <w:topLinePunct/>
        <w:ind w:firstLine="594" w:firstLineChars="200"/>
        <w:rPr>
          <w:rFonts w:hint="eastAsia" w:ascii="黑体" w:eastAsia="黑体"/>
          <w:szCs w:val="32"/>
          <w:lang w:eastAsia="zh-CN"/>
        </w:rPr>
      </w:pPr>
      <w:r>
        <w:rPr>
          <w:rFonts w:hint="eastAsia" w:ascii="黑体" w:eastAsia="黑体"/>
          <w:szCs w:val="32"/>
          <w:lang w:eastAsia="zh-CN"/>
        </w:rPr>
        <w:t>三、项目组织实施情况</w:t>
      </w:r>
    </w:p>
    <w:p>
      <w:pPr>
        <w:topLinePunct/>
        <w:ind w:firstLine="59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项目组织情况分析，主要包括项目前期准备、招投标、调整、竣工验收等情况。项目管理情况分析，主要包括项目管理制度、办法的制订、日常检查监督管理等情况。</w:t>
      </w:r>
    </w:p>
    <w:p>
      <w:pPr>
        <w:pStyle w:val="5"/>
        <w:rPr>
          <w:rFonts w:hint="eastAsia" w:eastAsia="仿宋_GB2312"/>
          <w:lang w:val="en-US" w:eastAsia="zh-CN"/>
        </w:rPr>
      </w:pPr>
      <w:r>
        <w:rPr>
          <w:rFonts w:hint="eastAsia" w:ascii="仿宋_GB2312" w:hAnsi="仿宋_GB2312" w:eastAsia="仿宋_GB2312" w:cs="仿宋_GB2312"/>
          <w:szCs w:val="32"/>
          <w:lang w:val="en-US" w:eastAsia="zh-CN"/>
        </w:rPr>
        <w:t>项目</w:t>
      </w:r>
    </w:p>
    <w:p>
      <w:pPr>
        <w:topLinePunct/>
        <w:ind w:firstLine="594" w:firstLineChars="200"/>
        <w:rPr>
          <w:rFonts w:ascii="黑体" w:eastAsia="黑体"/>
          <w:szCs w:val="32"/>
        </w:rPr>
      </w:pPr>
      <w:r>
        <w:rPr>
          <w:rFonts w:hint="eastAsia" w:ascii="黑体" w:eastAsia="黑体"/>
          <w:szCs w:val="32"/>
          <w:lang w:eastAsia="zh-CN"/>
        </w:rPr>
        <w:t>四</w:t>
      </w:r>
      <w:r>
        <w:rPr>
          <w:rFonts w:hint="eastAsia" w:ascii="黑体" w:eastAsia="黑体"/>
          <w:szCs w:val="32"/>
        </w:rPr>
        <w:t>、项目绩效情况</w:t>
      </w:r>
    </w:p>
    <w:p>
      <w:pPr>
        <w:topLinePunct/>
        <w:ind w:firstLine="594" w:firstLineChars="200"/>
        <w:jc w:val="both"/>
        <w:rPr>
          <w:rFonts w:hint="eastAsia" w:ascii="仿宋_GB2312"/>
          <w:szCs w:val="32"/>
        </w:rPr>
      </w:pPr>
      <w:r>
        <w:rPr>
          <w:rFonts w:hint="eastAsia" w:ascii="仿宋_GB2312"/>
          <w:szCs w:val="32"/>
        </w:rPr>
        <w:t>主要从项目的经济性、效率性、有效性和可持续性等方面进行量化、具体分析。其中：项目的经济性分析主要是对项目成本（预算）控制、节约等情况进行分析；项目的效率性分析主要是对项目实施（完成）的进度及质量等情况进行分析；项目的有效性分析主要是对反映项目资金使用效果的个性指标进行分析；项目的可持续性分析主要是对项目完成后，后续政策、资金、人员机构安排和管理措施等影响项目持续发展的因素进行分析。</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搭建参政议政平台，</w:t>
      </w:r>
      <w:r>
        <w:rPr>
          <w:rFonts w:hint="eastAsia" w:ascii="仿宋_GB2312" w:hAnsi="仿宋_GB2312" w:eastAsia="仿宋_GB2312" w:cs="仿宋_GB2312"/>
          <w:color w:val="auto"/>
          <w:sz w:val="32"/>
          <w:szCs w:val="32"/>
          <w:lang w:eastAsia="zh-CN"/>
        </w:rPr>
        <w:t>全力协助和配合做好人大、政协换届工作，</w:t>
      </w:r>
      <w:r>
        <w:rPr>
          <w:rFonts w:hint="eastAsia" w:ascii="仿宋_GB2312" w:hAnsi="仿宋_GB2312" w:eastAsia="仿宋_GB2312" w:cs="仿宋_GB2312"/>
          <w:color w:val="auto"/>
          <w:sz w:val="32"/>
          <w:szCs w:val="32"/>
          <w:vertAlign w:val="baseline"/>
          <w:lang w:val="en-US" w:eastAsia="zh-CN"/>
        </w:rPr>
        <w:t>推荐62名党外人士担任区人大代表，占代表总数27.31%；推荐132名为党外人士担任区政协委员，占委员总数61.1%。2022年</w:t>
      </w:r>
      <w:r>
        <w:rPr>
          <w:rFonts w:hint="eastAsia" w:ascii="仿宋_GB2312" w:hAnsi="仿宋_GB2312" w:eastAsia="仿宋_GB2312" w:cs="仿宋_GB2312"/>
          <w:color w:val="auto"/>
          <w:sz w:val="32"/>
          <w:szCs w:val="32"/>
          <w:lang w:eastAsia="zh-CN"/>
        </w:rPr>
        <w:t>呈贡区</w:t>
      </w:r>
      <w:r>
        <w:rPr>
          <w:rFonts w:hint="eastAsia" w:ascii="仿宋_GB2312" w:hAnsi="仿宋_GB2312" w:eastAsia="仿宋_GB2312" w:cs="仿宋_GB2312"/>
          <w:snapToGrid w:val="0"/>
          <w:color w:val="auto"/>
          <w:kern w:val="0"/>
          <w:sz w:val="32"/>
          <w:szCs w:val="32"/>
          <w:lang w:eastAsia="zh-CN"/>
        </w:rPr>
        <w:t>“两</w:t>
      </w:r>
      <w:r>
        <w:rPr>
          <w:rFonts w:hint="eastAsia" w:ascii="仿宋_GB2312" w:hAnsi="仿宋_GB2312" w:eastAsia="仿宋_GB2312" w:cs="仿宋_GB2312"/>
          <w:snapToGrid w:val="0"/>
          <w:color w:val="auto"/>
          <w:kern w:val="0"/>
          <w:sz w:val="32"/>
          <w:szCs w:val="32"/>
        </w:rPr>
        <w:t>会</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期间，民主党派</w:t>
      </w:r>
      <w:r>
        <w:rPr>
          <w:rFonts w:hint="eastAsia" w:ascii="仿宋_GB2312" w:hAnsi="仿宋_GB2312" w:eastAsia="仿宋_GB2312" w:cs="仿宋_GB2312"/>
          <w:snapToGrid w:val="0"/>
          <w:color w:val="auto"/>
          <w:kern w:val="0"/>
          <w:sz w:val="32"/>
          <w:szCs w:val="32"/>
          <w:lang w:eastAsia="zh-CN"/>
        </w:rPr>
        <w:t>和党外</w:t>
      </w:r>
      <w:r>
        <w:rPr>
          <w:rFonts w:hint="eastAsia" w:ascii="仿宋_GB2312" w:hAnsi="仿宋_GB2312" w:eastAsia="仿宋_GB2312" w:cs="仿宋_GB2312"/>
          <w:snapToGrid w:val="0"/>
          <w:color w:val="auto"/>
          <w:kern w:val="0"/>
          <w:sz w:val="32"/>
          <w:szCs w:val="32"/>
        </w:rPr>
        <w:t>人士</w:t>
      </w:r>
      <w:r>
        <w:rPr>
          <w:rFonts w:hint="eastAsia" w:ascii="仿宋_GB2312" w:hAnsi="仿宋_GB2312" w:eastAsia="仿宋_GB2312" w:cs="仿宋_GB2312"/>
          <w:snapToGrid w:val="0"/>
          <w:color w:val="auto"/>
          <w:kern w:val="0"/>
          <w:sz w:val="32"/>
          <w:szCs w:val="32"/>
          <w:lang w:eastAsia="zh-CN"/>
        </w:rPr>
        <w:t>共</w:t>
      </w:r>
      <w:r>
        <w:rPr>
          <w:rFonts w:hint="eastAsia" w:ascii="仿宋_GB2312" w:hAnsi="仿宋_GB2312" w:eastAsia="仿宋_GB2312" w:cs="仿宋_GB2312"/>
          <w:snapToGrid w:val="0"/>
          <w:color w:val="auto"/>
          <w:kern w:val="0"/>
          <w:sz w:val="32"/>
          <w:szCs w:val="32"/>
        </w:rPr>
        <w:t>提出</w:t>
      </w:r>
      <w:r>
        <w:rPr>
          <w:rFonts w:hint="eastAsia" w:ascii="仿宋_GB2312" w:hAnsi="仿宋_GB2312" w:eastAsia="仿宋_GB2312" w:cs="仿宋_GB2312"/>
          <w:snapToGrid w:val="0"/>
          <w:color w:val="auto"/>
          <w:kern w:val="0"/>
          <w:sz w:val="32"/>
          <w:szCs w:val="32"/>
          <w:lang w:eastAsia="zh-CN"/>
        </w:rPr>
        <w:t>人大代表</w:t>
      </w:r>
      <w:r>
        <w:rPr>
          <w:rFonts w:hint="eastAsia" w:ascii="仿宋_GB2312" w:hAnsi="仿宋_GB2312" w:eastAsia="仿宋_GB2312" w:cs="仿宋_GB2312"/>
          <w:snapToGrid w:val="0"/>
          <w:color w:val="auto"/>
          <w:kern w:val="0"/>
          <w:sz w:val="32"/>
          <w:szCs w:val="32"/>
        </w:rPr>
        <w:t>建议</w:t>
      </w:r>
      <w:r>
        <w:rPr>
          <w:rFonts w:hint="eastAsia" w:ascii="仿宋_GB2312" w:hAnsi="仿宋_GB2312" w:eastAsia="仿宋_GB2312" w:cs="仿宋_GB2312"/>
          <w:snapToGrid w:val="0"/>
          <w:color w:val="auto"/>
          <w:kern w:val="0"/>
          <w:sz w:val="32"/>
          <w:szCs w:val="32"/>
          <w:lang w:val="en-US" w:eastAsia="zh-CN"/>
        </w:rPr>
        <w:t>53件</w:t>
      </w:r>
      <w:r>
        <w:rPr>
          <w:rFonts w:hint="eastAsia" w:ascii="仿宋_GB2312" w:hAnsi="仿宋_GB2312" w:eastAsia="仿宋_GB2312" w:cs="仿宋_GB2312"/>
          <w:snapToGrid w:val="0"/>
          <w:color w:val="auto"/>
          <w:kern w:val="0"/>
          <w:sz w:val="32"/>
          <w:szCs w:val="32"/>
          <w:lang w:eastAsia="zh-CN"/>
        </w:rPr>
        <w:t>、政协</w:t>
      </w:r>
      <w:r>
        <w:rPr>
          <w:rFonts w:hint="eastAsia" w:ascii="仿宋_GB2312" w:hAnsi="仿宋_GB2312" w:eastAsia="仿宋_GB2312" w:cs="仿宋_GB2312"/>
          <w:snapToGrid w:val="0"/>
          <w:color w:val="auto"/>
          <w:kern w:val="0"/>
          <w:sz w:val="32"/>
          <w:szCs w:val="32"/>
        </w:rPr>
        <w:t>提案</w:t>
      </w:r>
      <w:r>
        <w:rPr>
          <w:rFonts w:hint="eastAsia" w:ascii="仿宋_GB2312" w:hAnsi="仿宋_GB2312" w:eastAsia="仿宋_GB2312" w:cs="仿宋_GB2312"/>
          <w:snapToGrid w:val="0"/>
          <w:color w:val="auto"/>
          <w:kern w:val="0"/>
          <w:sz w:val="32"/>
          <w:szCs w:val="32"/>
          <w:lang w:val="en-US" w:eastAsia="zh-CN"/>
        </w:rPr>
        <w:t>102</w:t>
      </w:r>
      <w:r>
        <w:rPr>
          <w:rFonts w:hint="eastAsia" w:ascii="仿宋_GB2312" w:hAnsi="仿宋_GB2312" w:eastAsia="仿宋_GB2312" w:cs="仿宋_GB2312"/>
          <w:snapToGrid w:val="0"/>
          <w:color w:val="auto"/>
          <w:kern w:val="0"/>
          <w:sz w:val="32"/>
          <w:szCs w:val="32"/>
        </w:rPr>
        <w:t>件</w:t>
      </w:r>
      <w:r>
        <w:rPr>
          <w:rFonts w:hint="eastAsia" w:ascii="仿宋_GB2312" w:hAnsi="仿宋_GB2312" w:eastAsia="仿宋_GB2312" w:cs="仿宋_GB2312"/>
          <w:snapToGrid w:val="0"/>
          <w:color w:val="auto"/>
          <w:kern w:val="0"/>
          <w:sz w:val="32"/>
          <w:szCs w:val="32"/>
          <w:lang w:eastAsia="zh-CN"/>
        </w:rPr>
        <w:t>，积极</w:t>
      </w:r>
      <w:r>
        <w:rPr>
          <w:rFonts w:hint="eastAsia" w:ascii="仿宋_GB2312" w:hAnsi="仿宋_GB2312" w:eastAsia="仿宋_GB2312" w:cs="仿宋_GB2312"/>
          <w:color w:val="auto"/>
          <w:sz w:val="32"/>
          <w:szCs w:val="32"/>
        </w:rPr>
        <w:t>为广集民智、广求良策</w:t>
      </w:r>
      <w:r>
        <w:rPr>
          <w:rFonts w:hint="eastAsia" w:ascii="仿宋_GB2312" w:hAnsi="仿宋_GB2312" w:eastAsia="仿宋_GB2312" w:cs="仿宋_GB2312"/>
          <w:color w:val="auto"/>
          <w:sz w:val="32"/>
          <w:szCs w:val="32"/>
          <w:lang w:eastAsia="zh-CN"/>
        </w:rPr>
        <w:t>发挥作用</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color w:val="auto"/>
          <w:sz w:val="32"/>
          <w:szCs w:val="32"/>
          <w:lang w:val="en-US" w:eastAsia="zh-CN"/>
        </w:rPr>
        <w:t>推荐6名民主党派成员为公益保护志愿者、1名民主党派成员为区监察委员会特约监察员、2名无党派人士为呈贡区红十字会募捐救助活动社会监督评审委员。</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color w:val="auto"/>
          <w:sz w:val="32"/>
          <w:szCs w:val="32"/>
          <w:lang w:eastAsia="zh-CN"/>
        </w:rPr>
        <w:t>充分发挥民主监督职能</w:t>
      </w:r>
      <w:r>
        <w:rPr>
          <w:rFonts w:hint="eastAsia" w:ascii="仿宋_GB2312" w:hAnsi="仿宋_GB2312" w:eastAsia="仿宋_GB2312" w:cs="仿宋_GB2312"/>
          <w:snapToGrid w:val="0"/>
          <w:color w:val="auto"/>
          <w:kern w:val="0"/>
          <w:sz w:val="32"/>
          <w:szCs w:val="32"/>
          <w:lang w:eastAsia="zh-CN"/>
        </w:rPr>
        <w:t>。出台《中共昆明市呈贡区委202</w:t>
      </w:r>
      <w:r>
        <w:rPr>
          <w:rFonts w:hint="eastAsia" w:ascii="仿宋_GB2312" w:hAnsi="仿宋_GB2312" w:eastAsia="仿宋_GB2312" w:cs="仿宋_GB2312"/>
          <w:snapToGrid w:val="0"/>
          <w:color w:val="auto"/>
          <w:kern w:val="0"/>
          <w:sz w:val="32"/>
          <w:szCs w:val="32"/>
          <w:lang w:val="en-US" w:eastAsia="zh-CN"/>
        </w:rPr>
        <w:t>2</w:t>
      </w:r>
      <w:r>
        <w:rPr>
          <w:rFonts w:hint="eastAsia" w:ascii="仿宋_GB2312" w:hAnsi="仿宋_GB2312" w:eastAsia="仿宋_GB2312" w:cs="仿宋_GB2312"/>
          <w:snapToGrid w:val="0"/>
          <w:color w:val="auto"/>
          <w:kern w:val="0"/>
          <w:sz w:val="32"/>
          <w:szCs w:val="32"/>
          <w:lang w:eastAsia="zh-CN"/>
        </w:rPr>
        <w:t>年度政党</w:t>
      </w:r>
      <w:r>
        <w:rPr>
          <w:rFonts w:hint="eastAsia" w:ascii="仿宋_GB2312" w:hAnsi="仿宋_GB2312" w:eastAsia="仿宋_GB2312" w:cs="仿宋_GB2312"/>
          <w:snapToGrid w:val="0"/>
          <w:color w:val="auto"/>
          <w:kern w:val="0"/>
          <w:sz w:val="32"/>
          <w:szCs w:val="32"/>
          <w:lang w:val="en-US" w:eastAsia="zh-CN"/>
        </w:rPr>
        <w:t>协商计划</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val="en-US" w:eastAsia="zh-CN"/>
        </w:rPr>
        <w:t>,召开两次政党协商会议，组织民主党派、无党派人士就</w:t>
      </w:r>
      <w:r>
        <w:rPr>
          <w:rFonts w:hint="eastAsia" w:ascii="仿宋_GB2312" w:hAnsi="仿宋_GB2312" w:eastAsia="仿宋_GB2312" w:cs="仿宋_GB2312"/>
          <w:snapToGrid w:val="0"/>
          <w:color w:val="auto"/>
          <w:kern w:val="0"/>
          <w:sz w:val="32"/>
          <w:szCs w:val="32"/>
          <w:lang w:eastAsia="zh-CN"/>
        </w:rPr>
        <w:t>呈贡教育发展、疫情防控、产业培育及河（湖）长制工作情况</w:t>
      </w:r>
      <w:r>
        <w:rPr>
          <w:rFonts w:hint="eastAsia" w:ascii="仿宋_GB2312" w:hAnsi="仿宋_GB2312" w:eastAsia="仿宋_GB2312" w:cs="仿宋_GB2312"/>
          <w:snapToGrid w:val="0"/>
          <w:color w:val="auto"/>
          <w:kern w:val="0"/>
          <w:sz w:val="32"/>
          <w:szCs w:val="32"/>
          <w:lang w:val="en-US" w:eastAsia="zh-CN"/>
        </w:rPr>
        <w:t>四</w:t>
      </w:r>
      <w:r>
        <w:rPr>
          <w:rFonts w:hint="eastAsia" w:ascii="仿宋_GB2312" w:hAnsi="仿宋_GB2312" w:eastAsia="仿宋_GB2312" w:cs="仿宋_GB2312"/>
          <w:snapToGrid w:val="0"/>
          <w:color w:val="auto"/>
          <w:kern w:val="0"/>
          <w:sz w:val="32"/>
          <w:szCs w:val="32"/>
          <w:lang w:eastAsia="zh-CN"/>
        </w:rPr>
        <w:t>个方面与政府相关部门进行协商；成立“呈贡区支持民主党派、无党派人士开展长江流域（昆明段）生态环境保护及滇池保护治理民主监督工作领导小组”，积极</w:t>
      </w:r>
      <w:r>
        <w:rPr>
          <w:rFonts w:hint="default" w:ascii="Times New Roman" w:hAnsi="Times New Roman" w:eastAsia="仿宋_GB2312" w:cs="Times New Roman"/>
          <w:color w:val="auto"/>
          <w:sz w:val="32"/>
          <w:szCs w:val="32"/>
          <w:lang w:val="en-US" w:eastAsia="zh-CN"/>
        </w:rPr>
        <w:t>支持民主党派、无党派人士开展长江流域（昆明段）生态环境保护及滇池保护治理民主监督</w:t>
      </w:r>
      <w:r>
        <w:rPr>
          <w:rFonts w:hint="eastAsia" w:ascii="仿宋_GB2312" w:hAnsi="仿宋_GB2312" w:eastAsia="仿宋_GB2312" w:cs="仿宋_GB2312"/>
          <w:snapToGrid w:val="0"/>
          <w:color w:val="auto"/>
          <w:kern w:val="0"/>
          <w:sz w:val="32"/>
          <w:szCs w:val="32"/>
          <w:lang w:eastAsia="zh-CN"/>
        </w:rPr>
        <w:t>工作</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i w:val="0"/>
          <w:caps w:val="0"/>
          <w:color w:val="auto"/>
          <w:spacing w:val="0"/>
          <w:sz w:val="32"/>
          <w:szCs w:val="32"/>
          <w:lang w:val="en-US" w:eastAsia="zh-CN"/>
        </w:rPr>
        <w:t>举办“关爱滇池·呈贡统一战线在行动”系列活动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val="0"/>
          <w:color w:val="auto"/>
          <w:sz w:val="32"/>
          <w:szCs w:val="32"/>
          <w:lang w:val="en-US" w:eastAsia="zh-CN"/>
        </w:rPr>
        <w:t>三是</w:t>
      </w:r>
      <w:r>
        <w:rPr>
          <w:rFonts w:hint="eastAsia" w:ascii="仿宋_GB2312" w:hAnsi="Times New Roman" w:eastAsia="仿宋_GB2312" w:cs="Times New Roman"/>
          <w:snapToGrid w:val="0"/>
          <w:color w:val="auto"/>
          <w:kern w:val="0"/>
          <w:sz w:val="32"/>
          <w:szCs w:val="32"/>
          <w:lang w:val="en-US" w:eastAsia="zh-CN" w:bidi="ar-SA"/>
        </w:rPr>
        <w:t>支持</w:t>
      </w:r>
      <w:r>
        <w:rPr>
          <w:rFonts w:hint="eastAsia" w:ascii="仿宋_GB2312" w:hAnsi="仿宋_GB2312" w:eastAsia="仿宋_GB2312" w:cs="仿宋_GB2312"/>
          <w:color w:val="auto"/>
          <w:sz w:val="32"/>
          <w:szCs w:val="32"/>
          <w:lang w:val="zh-CN"/>
        </w:rPr>
        <w:t>民主党派开展调</w:t>
      </w:r>
      <w:r>
        <w:rPr>
          <w:rFonts w:hint="eastAsia" w:ascii="仿宋_GB2312" w:hAnsi="Times New Roman" w:eastAsia="仿宋_GB2312" w:cs="Times New Roman"/>
          <w:snapToGrid w:val="0"/>
          <w:color w:val="auto"/>
          <w:kern w:val="0"/>
          <w:sz w:val="32"/>
          <w:szCs w:val="32"/>
          <w:lang w:val="zh-CN" w:eastAsia="zh-CN" w:bidi="ar-SA"/>
        </w:rPr>
        <w:t>研，促进调研成果转化。</w:t>
      </w:r>
      <w:r>
        <w:rPr>
          <w:rFonts w:hint="eastAsia" w:ascii="仿宋_GB2312" w:hAnsi="Times New Roman" w:eastAsia="仿宋_GB2312" w:cs="Times New Roman"/>
          <w:snapToGrid w:val="0"/>
          <w:color w:val="auto"/>
          <w:kern w:val="0"/>
          <w:sz w:val="32"/>
          <w:szCs w:val="32"/>
          <w:lang w:val="en-US" w:eastAsia="zh-CN" w:bidi="ar-SA"/>
        </w:rPr>
        <w:t>引导各民主党派</w:t>
      </w:r>
      <w:r>
        <w:rPr>
          <w:rFonts w:hint="eastAsia" w:ascii="仿宋_GB2312" w:eastAsia="仿宋_GB2312"/>
          <w:snapToGrid w:val="0"/>
          <w:color w:val="auto"/>
          <w:kern w:val="0"/>
          <w:sz w:val="32"/>
          <w:szCs w:val="32"/>
          <w:lang w:eastAsia="zh-CN"/>
        </w:rPr>
        <w:t>瞄准呈贡区经济社会发展的问题和瓶颈，</w:t>
      </w:r>
      <w:r>
        <w:rPr>
          <w:rFonts w:hint="eastAsia" w:ascii="仿宋_GB2312" w:hAnsi="Times New Roman" w:eastAsia="仿宋_GB2312" w:cs="Times New Roman"/>
          <w:snapToGrid w:val="0"/>
          <w:color w:val="auto"/>
          <w:kern w:val="0"/>
          <w:sz w:val="32"/>
          <w:szCs w:val="32"/>
          <w:lang w:val="en-US" w:eastAsia="zh-CN" w:bidi="ar-SA"/>
        </w:rPr>
        <w:t>协助民主党派到区住建局、文旅局、信息产业园区、云上云大数据公司等机关和企业调研，形成调研报告8篇，为呈</w:t>
      </w:r>
      <w:r>
        <w:rPr>
          <w:rFonts w:hint="eastAsia" w:ascii="仿宋_GB2312" w:eastAsia="仿宋_GB2312"/>
          <w:color w:val="auto"/>
          <w:sz w:val="32"/>
          <w:szCs w:val="32"/>
        </w:rPr>
        <w:t>贡区委、区政府广集民智、广求良策起到积极作用</w:t>
      </w:r>
      <w:r>
        <w:rPr>
          <w:rFonts w:hint="eastAsia" w:ascii="仿宋_GB2312" w:eastAsia="仿宋_GB2312"/>
          <w:color w:val="auto"/>
          <w:sz w:val="32"/>
          <w:szCs w:val="32"/>
          <w:lang w:eastAsia="zh-CN"/>
        </w:rPr>
        <w:t>。</w:t>
      </w:r>
      <w:r>
        <w:rPr>
          <w:rFonts w:hint="eastAsia" w:ascii="仿宋_GB2312" w:eastAsia="仿宋_GB2312"/>
          <w:b/>
          <w:bCs/>
          <w:color w:val="auto"/>
          <w:sz w:val="32"/>
          <w:szCs w:val="32"/>
          <w:lang w:eastAsia="zh-CN"/>
        </w:rPr>
        <w:t>四是</w:t>
      </w:r>
      <w:r>
        <w:rPr>
          <w:rFonts w:hint="eastAsia" w:ascii="仿宋_GB2312" w:hAnsi="仿宋_GB2312" w:eastAsia="仿宋_GB2312" w:cs="仿宋_GB2312"/>
          <w:b w:val="0"/>
          <w:bCs w:val="0"/>
          <w:color w:val="auto"/>
          <w:sz w:val="32"/>
          <w:szCs w:val="32"/>
          <w:lang w:eastAsia="zh-CN"/>
        </w:rPr>
        <w:t>支持各党派加强自身建设，履职担当。指导</w:t>
      </w:r>
      <w:r>
        <w:rPr>
          <w:rStyle w:val="7"/>
          <w:rFonts w:hint="eastAsia" w:ascii="仿宋_GB2312" w:hAnsi="仿宋_GB2312" w:eastAsia="仿宋_GB2312" w:cs="仿宋_GB2312"/>
          <w:b w:val="0"/>
          <w:bCs w:val="0"/>
          <w:color w:val="auto"/>
          <w:kern w:val="2"/>
          <w:sz w:val="32"/>
          <w:szCs w:val="32"/>
          <w:lang w:val="en-US" w:eastAsia="zh-CN" w:bidi="ar-SA"/>
        </w:rPr>
        <w:t>完成呈贡区6个</w:t>
      </w:r>
      <w:r>
        <w:rPr>
          <w:rFonts w:hint="eastAsia" w:ascii="仿宋_GB2312" w:hAnsi="仿宋_GB2312" w:eastAsia="仿宋_GB2312" w:cs="仿宋_GB2312"/>
          <w:color w:val="auto"/>
          <w:sz w:val="32"/>
          <w:szCs w:val="32"/>
          <w:lang w:val="en-US" w:eastAsia="zh-CN"/>
        </w:rPr>
        <w:t>民主党派基层组织的人事更替和政治交接，</w:t>
      </w:r>
      <w:r>
        <w:rPr>
          <w:rFonts w:hint="eastAsia" w:ascii="仿宋_GB2312" w:hAnsi="仿宋_GB2312" w:eastAsia="仿宋_GB2312" w:cs="仿宋_GB2312"/>
          <w:color w:val="auto"/>
          <w:sz w:val="32"/>
          <w:szCs w:val="32"/>
          <w:u w:val="none"/>
          <w:lang w:val="en-US" w:eastAsia="zh-CN"/>
        </w:rPr>
        <w:t>组织</w:t>
      </w:r>
      <w:r>
        <w:rPr>
          <w:rFonts w:hint="eastAsia" w:ascii="Times New Roman" w:hAnsi="Times New Roman" w:eastAsia="仿宋_GB2312" w:cs="Times New Roman"/>
          <w:color w:val="auto"/>
          <w:sz w:val="32"/>
          <w:szCs w:val="32"/>
          <w:lang w:val="en-US" w:eastAsia="zh-CN"/>
        </w:rPr>
        <w:t>开展“烈士纪念日”党史学习</w:t>
      </w:r>
      <w:r>
        <w:rPr>
          <w:rFonts w:hint="eastAsia" w:ascii="Times New Roman" w:hAnsi="Times New Roman" w:cs="Times New Roman"/>
          <w:color w:val="auto"/>
          <w:sz w:val="32"/>
          <w:szCs w:val="32"/>
          <w:lang w:val="en-US" w:eastAsia="zh-CN"/>
        </w:rPr>
        <w:t>教育</w:t>
      </w:r>
      <w:bookmarkStart w:id="0" w:name="_GoBack"/>
      <w:bookmarkEnd w:id="0"/>
      <w:r>
        <w:rPr>
          <w:rFonts w:hint="eastAsia" w:ascii="Times New Roman" w:hAnsi="Times New Roman" w:eastAsia="仿宋_GB2312" w:cs="Times New Roman"/>
          <w:color w:val="auto"/>
          <w:sz w:val="32"/>
          <w:szCs w:val="32"/>
          <w:lang w:val="en-US" w:eastAsia="zh-CN"/>
        </w:rPr>
        <w:t>和“从党的一大到二十大”活动，</w:t>
      </w:r>
      <w:r>
        <w:rPr>
          <w:rFonts w:hint="eastAsia" w:ascii="仿宋_GB2312" w:hAnsi="仿宋_GB2312" w:eastAsia="仿宋_GB2312" w:cs="仿宋_GB2312"/>
          <w:color w:val="auto"/>
          <w:sz w:val="32"/>
          <w:szCs w:val="32"/>
          <w:lang w:val="en-US" w:eastAsia="zh-CN"/>
        </w:rPr>
        <w:t>组织各党派开展“我为新区献计谋发展”活动。支持各民主党派结合实际开展党派服务活动：如民建基层委的</w:t>
      </w:r>
      <w:r>
        <w:rPr>
          <w:rFonts w:hint="eastAsia" w:ascii="仿宋_GB2312" w:hAnsi="仿宋_GB2312" w:eastAsia="仿宋_GB2312" w:cs="仿宋_GB2312"/>
          <w:color w:val="auto"/>
          <w:sz w:val="32"/>
          <w:szCs w:val="32"/>
        </w:rPr>
        <w:t>助力</w:t>
      </w:r>
      <w:r>
        <w:rPr>
          <w:rFonts w:hint="eastAsia" w:ascii="仿宋_GB2312" w:hAnsi="仿宋_GB2312" w:eastAsia="仿宋_GB2312" w:cs="仿宋_GB2312"/>
          <w:color w:val="auto"/>
          <w:sz w:val="32"/>
          <w:szCs w:val="32"/>
          <w:lang w:val="en-US" w:eastAsia="zh-CN"/>
        </w:rPr>
        <w:t>乡村振兴、农工党基层委的“关爱老年人·送医下乡”等。</w:t>
      </w:r>
    </w:p>
    <w:p>
      <w:pPr>
        <w:pStyle w:val="5"/>
      </w:pPr>
    </w:p>
    <w:p>
      <w:pPr>
        <w:topLinePunct/>
        <w:ind w:firstLine="594" w:firstLineChars="200"/>
        <w:rPr>
          <w:rFonts w:ascii="黑体" w:eastAsia="黑体"/>
          <w:szCs w:val="32"/>
        </w:rPr>
      </w:pPr>
      <w:r>
        <w:rPr>
          <w:rFonts w:hint="eastAsia" w:ascii="黑体" w:eastAsia="黑体"/>
          <w:szCs w:val="32"/>
          <w:lang w:eastAsia="zh-CN"/>
        </w:rPr>
        <w:t>五</w:t>
      </w:r>
      <w:r>
        <w:rPr>
          <w:rFonts w:hint="eastAsia" w:ascii="黑体" w:eastAsia="黑体"/>
          <w:szCs w:val="32"/>
        </w:rPr>
        <w:t>、存在的问题</w:t>
      </w:r>
    </w:p>
    <w:p>
      <w:pPr>
        <w:topLinePunct/>
        <w:ind w:firstLine="594" w:firstLineChars="200"/>
        <w:rPr>
          <w:rFonts w:hint="eastAsia" w:ascii="仿宋_GB2312"/>
          <w:szCs w:val="32"/>
        </w:rPr>
      </w:pPr>
      <w:r>
        <w:rPr>
          <w:rFonts w:hint="eastAsia" w:ascii="仿宋_GB2312"/>
          <w:szCs w:val="32"/>
        </w:rPr>
        <w:t>（一）专项管理方面的问题。专项立项依据是否充分；是否有资金管理办法，资金管理办法是否规范等。</w:t>
      </w:r>
    </w:p>
    <w:p>
      <w:pPr>
        <w:pStyle w:val="2"/>
        <w:rPr>
          <w:rFonts w:hint="eastAsia" w:ascii="仿宋" w:hAnsi="仿宋" w:eastAsia="仿宋" w:cs="仿宋"/>
          <w:lang w:val="en-US" w:eastAsia="zh-CN"/>
        </w:rPr>
      </w:pPr>
      <w:r>
        <w:rPr>
          <w:rFonts w:hint="eastAsia"/>
          <w:lang w:val="en-US" w:eastAsia="zh-CN"/>
        </w:rPr>
        <w:t xml:space="preserve">   </w:t>
      </w:r>
      <w:r>
        <w:rPr>
          <w:rFonts w:hint="eastAsia" w:ascii="仿宋" w:hAnsi="仿宋" w:eastAsia="仿宋" w:cs="仿宋"/>
          <w:lang w:val="en-US" w:eastAsia="zh-CN"/>
        </w:rPr>
        <w:t xml:space="preserve">  项目专项管理，专款专用，参照项目管理办法执行。</w:t>
      </w:r>
    </w:p>
    <w:p>
      <w:pPr>
        <w:numPr>
          <w:ilvl w:val="0"/>
          <w:numId w:val="3"/>
        </w:numPr>
        <w:topLinePunct/>
        <w:ind w:firstLine="594" w:firstLineChars="200"/>
        <w:rPr>
          <w:rFonts w:hint="eastAsia" w:ascii="仿宋_GB2312"/>
          <w:szCs w:val="32"/>
        </w:rPr>
      </w:pPr>
      <w:r>
        <w:rPr>
          <w:rFonts w:hint="eastAsia" w:ascii="仿宋_GB2312"/>
          <w:szCs w:val="32"/>
        </w:rPr>
        <w:t>资金分配方面的问题。资金分配是否合理，突出重点，公平公正；有无散小差现象；资金分配和使用方向是否与资金管理办法相符等。</w:t>
      </w:r>
    </w:p>
    <w:p>
      <w:pPr>
        <w:pStyle w:val="2"/>
        <w:numPr>
          <w:ilvl w:val="0"/>
          <w:numId w:val="0"/>
        </w:numPr>
        <w:rPr>
          <w:rFonts w:hint="eastAsia" w:ascii="仿宋" w:hAnsi="仿宋" w:eastAsia="仿宋" w:cs="仿宋"/>
          <w:lang w:val="en-US" w:eastAsia="zh-CN"/>
        </w:rPr>
      </w:pPr>
      <w:r>
        <w:rPr>
          <w:rFonts w:hint="eastAsia"/>
          <w:lang w:val="en-US" w:eastAsia="zh-CN"/>
        </w:rPr>
        <w:t xml:space="preserve">    </w:t>
      </w:r>
      <w:r>
        <w:rPr>
          <w:rFonts w:hint="eastAsia" w:ascii="仿宋" w:hAnsi="仿宋" w:eastAsia="仿宋" w:cs="仿宋"/>
          <w:lang w:val="en-US" w:eastAsia="zh-CN"/>
        </w:rPr>
        <w:t xml:space="preserve"> 项目资金按年初预算分配，重点项目突出，符合资金管理办法。</w:t>
      </w:r>
    </w:p>
    <w:p>
      <w:pPr>
        <w:numPr>
          <w:ilvl w:val="0"/>
          <w:numId w:val="3"/>
        </w:numPr>
        <w:topLinePunct/>
        <w:ind w:left="0" w:leftChars="0" w:firstLine="594" w:firstLineChars="200"/>
        <w:rPr>
          <w:rFonts w:hint="eastAsia" w:ascii="仿宋_GB2312"/>
          <w:szCs w:val="32"/>
        </w:rPr>
      </w:pPr>
      <w:r>
        <w:rPr>
          <w:rFonts w:hint="eastAsia" w:ascii="仿宋_GB2312"/>
          <w:szCs w:val="32"/>
        </w:rPr>
        <w:t>资金拨付方面的问题。拨付是否及时，有无滞留、闲置等现象。</w:t>
      </w:r>
    </w:p>
    <w:p>
      <w:pPr>
        <w:pStyle w:val="2"/>
        <w:numPr>
          <w:ilvl w:val="0"/>
          <w:numId w:val="0"/>
        </w:numPr>
        <w:ind w:leftChars="200"/>
        <w:rPr>
          <w:rFonts w:hint="default" w:eastAsia="宋体"/>
          <w:lang w:val="en-US" w:eastAsia="zh-CN"/>
        </w:rPr>
      </w:pPr>
      <w:r>
        <w:rPr>
          <w:rFonts w:hint="eastAsia" w:ascii="仿宋_GB2312" w:eastAsia="仿宋_GB2312" w:hAnsiTheme="minorHAnsi" w:cstheme="minorBidi"/>
          <w:kern w:val="2"/>
          <w:sz w:val="32"/>
          <w:szCs w:val="32"/>
          <w:lang w:val="en-US" w:eastAsia="zh-CN" w:bidi="ar-SA"/>
        </w:rPr>
        <w:t>市级资金拨付及时，区级资金申请一笔付一笔，无滞留、闲置资金。</w:t>
      </w:r>
    </w:p>
    <w:p>
      <w:pPr>
        <w:numPr>
          <w:ilvl w:val="0"/>
          <w:numId w:val="3"/>
        </w:numPr>
        <w:topLinePunct/>
        <w:ind w:left="0" w:leftChars="0" w:firstLine="594" w:firstLineChars="200"/>
        <w:rPr>
          <w:rFonts w:hint="eastAsia" w:ascii="仿宋_GB2312"/>
          <w:szCs w:val="32"/>
        </w:rPr>
      </w:pPr>
      <w:r>
        <w:rPr>
          <w:rFonts w:hint="eastAsia" w:ascii="仿宋_GB2312"/>
          <w:szCs w:val="32"/>
        </w:rPr>
        <w:t>资金使用方面的问题。资金使用是否合规，有无截留、挪用等现象，资金使用是否产生效益等。</w:t>
      </w:r>
    </w:p>
    <w:p>
      <w:pPr>
        <w:pStyle w:val="2"/>
        <w:numPr>
          <w:ilvl w:val="0"/>
          <w:numId w:val="0"/>
        </w:numPr>
        <w:ind w:leftChars="200"/>
        <w:rPr>
          <w:rFonts w:hint="default" w:eastAsia="宋体"/>
          <w:lang w:val="en-US" w:eastAsia="zh-CN"/>
        </w:rPr>
      </w:pPr>
      <w:r>
        <w:rPr>
          <w:rFonts w:hint="eastAsia" w:ascii="仿宋_GB2312" w:eastAsia="仿宋_GB2312" w:hAnsiTheme="minorHAnsi" w:cstheme="minorBidi"/>
          <w:kern w:val="2"/>
          <w:sz w:val="32"/>
          <w:szCs w:val="32"/>
          <w:lang w:val="en-US" w:eastAsia="zh-CN" w:bidi="ar-SA"/>
        </w:rPr>
        <w:t>项目资金使用方面不存在不合规，截留、挪用等情况发生。</w:t>
      </w:r>
    </w:p>
    <w:p>
      <w:pPr>
        <w:topLinePunct/>
        <w:ind w:firstLine="594" w:firstLineChars="200"/>
        <w:rPr>
          <w:rFonts w:ascii="黑体" w:eastAsia="黑体"/>
          <w:szCs w:val="32"/>
        </w:rPr>
      </w:pPr>
      <w:r>
        <w:rPr>
          <w:rFonts w:hint="eastAsia" w:ascii="黑体" w:eastAsia="黑体"/>
          <w:szCs w:val="32"/>
          <w:lang w:eastAsia="zh-CN"/>
        </w:rPr>
        <w:t>六</w:t>
      </w:r>
      <w:r>
        <w:rPr>
          <w:rFonts w:hint="eastAsia" w:ascii="黑体" w:eastAsia="黑体"/>
          <w:szCs w:val="32"/>
        </w:rPr>
        <w:t>、其他需要说明的问题</w:t>
      </w:r>
    </w:p>
    <w:p>
      <w:pPr>
        <w:topLinePunct/>
        <w:ind w:firstLine="594" w:firstLineChars="200"/>
        <w:rPr>
          <w:rFonts w:hint="eastAsia" w:ascii="仿宋_GB2312"/>
          <w:szCs w:val="32"/>
        </w:rPr>
      </w:pPr>
      <w:r>
        <w:rPr>
          <w:rFonts w:hint="eastAsia" w:ascii="仿宋_GB2312"/>
          <w:szCs w:val="32"/>
        </w:rPr>
        <w:t>（一）后续工作计划。</w:t>
      </w:r>
    </w:p>
    <w:p>
      <w:pPr>
        <w:topLinePunct/>
        <w:ind w:firstLine="594" w:firstLineChars="200"/>
        <w:rPr>
          <w:rFonts w:hint="default" w:ascii="仿宋_GB2312" w:eastAsia="仿宋_GB2312"/>
          <w:szCs w:val="32"/>
          <w:lang w:val="en-US" w:eastAsia="zh-CN"/>
        </w:rPr>
      </w:pPr>
      <w:r>
        <w:rPr>
          <w:rFonts w:hint="eastAsia" w:ascii="仿宋_GB2312"/>
          <w:szCs w:val="32"/>
          <w:lang w:val="en-US" w:eastAsia="zh-CN"/>
        </w:rPr>
        <w:t>加强上级资金管理，优先使用上级资金。</w:t>
      </w:r>
    </w:p>
    <w:p>
      <w:pPr>
        <w:topLinePunct/>
        <w:ind w:firstLine="594" w:firstLineChars="200"/>
        <w:rPr>
          <w:rFonts w:ascii="仿宋_GB2312"/>
          <w:szCs w:val="32"/>
        </w:rPr>
      </w:pPr>
      <w:r>
        <w:rPr>
          <w:rFonts w:hint="eastAsia" w:ascii="仿宋_GB2312"/>
          <w:szCs w:val="32"/>
        </w:rPr>
        <w:t>（二）主要经验做法、改进措施和有关建议等。</w:t>
      </w:r>
    </w:p>
    <w:p>
      <w:pPr>
        <w:rPr>
          <w:rFonts w:hint="default" w:eastAsia="仿宋_GB2312"/>
          <w:lang w:val="en-US" w:eastAsia="zh-CN"/>
        </w:rPr>
      </w:pPr>
      <w:r>
        <w:rPr>
          <w:rFonts w:hint="eastAsia"/>
          <w:lang w:val="en-US" w:eastAsia="zh-CN"/>
        </w:rPr>
        <w:t xml:space="preserve">    加强突发事件，处置水平与能力。</w:t>
      </w:r>
    </w:p>
    <w:sectPr>
      <w:pgSz w:w="11906" w:h="16838"/>
      <w:pgMar w:top="1723" w:right="1800" w:bottom="1723" w:left="1800" w:header="851" w:footer="992" w:gutter="0"/>
      <w:cols w:space="0" w:num="1"/>
      <w:rtlGutter w:val="0"/>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D2584"/>
    <w:multiLevelType w:val="singleLevel"/>
    <w:tmpl w:val="9ACD2584"/>
    <w:lvl w:ilvl="0" w:tentative="0">
      <w:start w:val="16"/>
      <w:numFmt w:val="decimal"/>
      <w:suff w:val="nothing"/>
      <w:lvlText w:val="%1、"/>
      <w:lvlJc w:val="left"/>
    </w:lvl>
  </w:abstractNum>
  <w:abstractNum w:abstractNumId="1">
    <w:nsid w:val="9D2EEDDA"/>
    <w:multiLevelType w:val="singleLevel"/>
    <w:tmpl w:val="9D2EEDDA"/>
    <w:lvl w:ilvl="0" w:tentative="0">
      <w:start w:val="2"/>
      <w:numFmt w:val="chineseCounting"/>
      <w:suff w:val="nothing"/>
      <w:lvlText w:val="（%1）"/>
      <w:lvlJc w:val="left"/>
      <w:rPr>
        <w:rFonts w:hint="eastAsia"/>
      </w:rPr>
    </w:lvl>
  </w:abstractNum>
  <w:abstractNum w:abstractNumId="2">
    <w:nsid w:val="BF1A55E8"/>
    <w:multiLevelType w:val="singleLevel"/>
    <w:tmpl w:val="BF1A55E8"/>
    <w:lvl w:ilvl="0" w:tentative="0">
      <w:start w:val="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48"/>
  <w:drawingGridVerticalSpacing w:val="30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lNDg3YWJkOTNlODljOWVjNGI2MDNmY2E4MWE0YjYifQ=="/>
  </w:docVars>
  <w:rsids>
    <w:rsidRoot w:val="00000000"/>
    <w:rsid w:val="04B54A0D"/>
    <w:rsid w:val="05AE36CA"/>
    <w:rsid w:val="064F2C3F"/>
    <w:rsid w:val="0B073AE9"/>
    <w:rsid w:val="134030D3"/>
    <w:rsid w:val="14CE09D5"/>
    <w:rsid w:val="15CC38A9"/>
    <w:rsid w:val="18CE3E98"/>
    <w:rsid w:val="197842A8"/>
    <w:rsid w:val="277D71B5"/>
    <w:rsid w:val="2B82123D"/>
    <w:rsid w:val="301417BA"/>
    <w:rsid w:val="378A5996"/>
    <w:rsid w:val="4021297B"/>
    <w:rsid w:val="470B6969"/>
    <w:rsid w:val="4AB663B6"/>
    <w:rsid w:val="4B8A492D"/>
    <w:rsid w:val="4C285091"/>
    <w:rsid w:val="4E7C2F38"/>
    <w:rsid w:val="4ECD1F20"/>
    <w:rsid w:val="4EDD2163"/>
    <w:rsid w:val="4FF77255"/>
    <w:rsid w:val="5A3C6978"/>
    <w:rsid w:val="5D3A01FD"/>
    <w:rsid w:val="5DB057A6"/>
    <w:rsid w:val="61F555BE"/>
    <w:rsid w:val="65197815"/>
    <w:rsid w:val="67600811"/>
    <w:rsid w:val="6C296590"/>
    <w:rsid w:val="6C9A123C"/>
    <w:rsid w:val="6E430CF1"/>
    <w:rsid w:val="758414E5"/>
    <w:rsid w:val="769136B0"/>
    <w:rsid w:val="77913D1B"/>
    <w:rsid w:val="78665BD7"/>
    <w:rsid w:val="7AE53FCA"/>
    <w:rsid w:val="7F57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hanging="200" w:hangingChars="200"/>
    </w:pPr>
    <w:rPr>
      <w:rFonts w:ascii="Times New Roman" w:hAnsi="Times New Roman" w:eastAsia="宋体" w:cs="Times New Roman"/>
    </w:rPr>
  </w:style>
  <w:style w:type="paragraph" w:customStyle="1" w:styleId="5">
    <w:name w:val="实施方案正文"/>
    <w:basedOn w:val="6"/>
    <w:qFormat/>
    <w:uiPriority w:val="99"/>
    <w:pPr>
      <w:ind w:firstLine="566" w:firstLineChars="202"/>
    </w:pPr>
  </w:style>
  <w:style w:type="paragraph" w:customStyle="1" w:styleId="6">
    <w:name w:val="正文 New"/>
    <w:next w:val="5"/>
    <w:qFormat/>
    <w:uiPriority w:val="0"/>
    <w:pPr>
      <w:widowControl w:val="0"/>
      <w:jc w:val="both"/>
    </w:pPr>
    <w:rPr>
      <w:rFonts w:ascii="Times New Roman" w:hAnsi="Times New Roman" w:eastAsia="宋体" w:cs="Times New Roman"/>
      <w:sz w:val="21"/>
      <w:szCs w:val="24"/>
      <w:lang w:val="en-US" w:eastAsia="zh-CN" w:bidi="ar-SA"/>
    </w:rPr>
  </w:style>
  <w:style w:type="character" w:customStyle="1" w:styleId="7">
    <w:name w:val="NormalCharacter"/>
    <w:link w:val="1"/>
    <w:semiHidden/>
    <w:qFormat/>
    <w:uiPriority w:val="0"/>
    <w:rPr>
      <w:rFonts w:eastAsia="仿宋_GB2312" w:asciiTheme="minorHAnsi"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李平</cp:lastModifiedBy>
  <dcterms:modified xsi:type="dcterms:W3CDTF">2023-10-10T06:28:45Z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97108ECA7E314A7FBF42638B9A493A1B</vt:lpwstr>
  </property>
</Properties>
</file>