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中共昆明市呈贡区委机构编制委员会办公室</w:t>
      </w:r>
    </w:p>
    <w:p>
      <w:pPr>
        <w:spacing w:line="600" w:lineRule="exact"/>
        <w:jc w:val="center"/>
        <w:rPr>
          <w:rFonts w:hint="eastAsia" w:ascii="方正小标宋_GBK" w:eastAsia="方正小标宋_GBK"/>
          <w:sz w:val="36"/>
          <w:szCs w:val="36"/>
          <w:lang w:eastAsia="zh-CN"/>
        </w:rPr>
      </w:pPr>
      <w:r>
        <w:rPr>
          <w:rFonts w:hint="eastAsia" w:ascii="方正小标宋_GBK" w:eastAsia="方正小标宋_GBK"/>
          <w:sz w:val="36"/>
          <w:szCs w:val="36"/>
          <w:lang w:val="en-US" w:eastAsia="zh-CN"/>
        </w:rPr>
        <w:t>2023年</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jc w:val="center"/>
        <w:rPr>
          <w:rFonts w:hint="eastAsia" w:ascii="方正小标宋_GBK" w:eastAsia="方正小标宋_GBK"/>
          <w:sz w:val="36"/>
          <w:szCs w:val="36"/>
          <w:lang w:eastAsia="zh-CN"/>
        </w:rPr>
      </w:pPr>
    </w:p>
    <w:p>
      <w:pPr>
        <w:topLinePunct/>
        <w:spacing w:line="560" w:lineRule="exact"/>
        <w:ind w:firstLine="594" w:firstLineChars="200"/>
        <w:rPr>
          <w:rFonts w:hint="default" w:ascii="Times New Roman" w:hAnsi="Times New Roman" w:cs="Times New Roman"/>
          <w:b/>
          <w:szCs w:val="32"/>
        </w:rPr>
      </w:pPr>
      <w:r>
        <w:rPr>
          <w:rFonts w:hint="default" w:ascii="Times New Roman" w:hAnsi="Times New Roman" w:cs="Times New Roman"/>
          <w:szCs w:val="32"/>
        </w:rPr>
        <w:t>为加强财政支出管理，提高财政资金使用效益，根据呈贡区财政局《关于对202</w:t>
      </w:r>
      <w:r>
        <w:rPr>
          <w:rFonts w:hint="eastAsia" w:ascii="Times New Roman" w:hAnsi="Times New Roman" w:cs="Times New Roman"/>
          <w:szCs w:val="32"/>
          <w:lang w:val="en-US" w:eastAsia="zh-CN"/>
        </w:rPr>
        <w:t>2</w:t>
      </w:r>
      <w:r>
        <w:rPr>
          <w:rFonts w:hint="default" w:ascii="Times New Roman" w:hAnsi="Times New Roman" w:cs="Times New Roman"/>
          <w:szCs w:val="32"/>
        </w:rPr>
        <w:t>年度预算支出开展绩效自评工作的通知》要求，我单位对202</w:t>
      </w:r>
      <w:r>
        <w:rPr>
          <w:rFonts w:hint="eastAsia" w:ascii="Times New Roman" w:hAnsi="Times New Roman" w:cs="Times New Roman"/>
          <w:szCs w:val="32"/>
          <w:lang w:val="en-US" w:eastAsia="zh-CN"/>
        </w:rPr>
        <w:t>2</w:t>
      </w:r>
      <w:r>
        <w:rPr>
          <w:rFonts w:hint="default" w:ascii="Times New Roman" w:hAnsi="Times New Roman" w:cs="Times New Roman"/>
          <w:szCs w:val="32"/>
        </w:rPr>
        <w:t>年项目支出绩效进行了全面综合自评，现将有关情况报告如下。</w:t>
      </w:r>
    </w:p>
    <w:p>
      <w:pPr>
        <w:topLinePunct/>
        <w:ind w:firstLine="594" w:firstLineChars="200"/>
        <w:rPr>
          <w:rFonts w:ascii="黑体" w:eastAsia="黑体"/>
          <w:szCs w:val="32"/>
        </w:rPr>
      </w:pPr>
      <w:r>
        <w:rPr>
          <w:rFonts w:hint="eastAsia" w:ascii="黑体" w:eastAsia="黑体"/>
          <w:szCs w:val="32"/>
        </w:rPr>
        <w:t>一、项目基本情况</w:t>
      </w:r>
    </w:p>
    <w:p>
      <w:pPr>
        <w:spacing w:line="560" w:lineRule="exact"/>
        <w:ind w:firstLine="594" w:firstLineChars="200"/>
        <w:outlineLvl w:val="0"/>
        <w:rPr>
          <w:rFonts w:ascii="仿宋_GB2312" w:hAnsi="宋体" w:cs="宋体"/>
          <w:szCs w:val="32"/>
        </w:rPr>
      </w:pPr>
      <w:r>
        <w:rPr>
          <w:rFonts w:hint="eastAsia" w:ascii="楷体" w:hAnsi="楷体" w:eastAsia="楷体"/>
          <w:szCs w:val="32"/>
        </w:rPr>
        <w:t>（一）项目概况。</w:t>
      </w:r>
      <w:r>
        <w:rPr>
          <w:rFonts w:hint="default" w:ascii="Times New Roman" w:hAnsi="Times New Roman" w:cs="Times New Roman"/>
          <w:szCs w:val="32"/>
        </w:rPr>
        <w:t>202</w:t>
      </w:r>
      <w:r>
        <w:rPr>
          <w:rFonts w:hint="eastAsia" w:ascii="Times New Roman" w:hAnsi="Times New Roman" w:cs="Times New Roman"/>
          <w:szCs w:val="32"/>
          <w:lang w:val="en-US" w:eastAsia="zh-CN"/>
        </w:rPr>
        <w:t>2</w:t>
      </w:r>
      <w:r>
        <w:rPr>
          <w:rFonts w:hint="default" w:ascii="Times New Roman" w:hAnsi="Times New Roman" w:cs="Times New Roman"/>
          <w:szCs w:val="32"/>
        </w:rPr>
        <w:t>年，为</w:t>
      </w:r>
      <w:r>
        <w:rPr>
          <w:rFonts w:hint="eastAsia" w:ascii="仿宋_GB2312" w:hAnsi="宋体" w:cs="宋体"/>
          <w:szCs w:val="32"/>
        </w:rPr>
        <w:t>保障完成特定的行政工作任务或事业发展目标，用于专项业务工作的经费支出</w:t>
      </w:r>
      <w:r>
        <w:rPr>
          <w:rFonts w:hint="default" w:ascii="Times New Roman" w:hAnsi="Times New Roman" w:cs="Times New Roman"/>
          <w:szCs w:val="32"/>
          <w:lang w:val="en-US" w:eastAsia="zh-CN"/>
        </w:rPr>
        <w:t>141831.90</w:t>
      </w:r>
      <w:r>
        <w:rPr>
          <w:rFonts w:hint="eastAsia" w:ascii="仿宋_GB2312" w:hAnsi="宋体" w:cs="宋体"/>
          <w:szCs w:val="32"/>
        </w:rPr>
        <w:t>元。具体项目开支情况如下：</w:t>
      </w:r>
    </w:p>
    <w:tbl>
      <w:tblPr>
        <w:tblStyle w:val="2"/>
        <w:tblW w:w="8497" w:type="dxa"/>
        <w:tblInd w:w="93" w:type="dxa"/>
        <w:tblLayout w:type="fixed"/>
        <w:tblCellMar>
          <w:top w:w="0" w:type="dxa"/>
          <w:left w:w="108" w:type="dxa"/>
          <w:bottom w:w="0" w:type="dxa"/>
          <w:right w:w="108" w:type="dxa"/>
        </w:tblCellMar>
      </w:tblPr>
      <w:tblGrid>
        <w:gridCol w:w="513"/>
        <w:gridCol w:w="5647"/>
        <w:gridCol w:w="2337"/>
      </w:tblGrid>
      <w:tr>
        <w:tblPrEx>
          <w:tblCellMar>
            <w:top w:w="0" w:type="dxa"/>
            <w:left w:w="108" w:type="dxa"/>
            <w:bottom w:w="0" w:type="dxa"/>
            <w:right w:w="108" w:type="dxa"/>
          </w:tblCellMar>
        </w:tblPrEx>
        <w:trPr>
          <w:trHeight w:val="308" w:hRule="atLeast"/>
        </w:trPr>
        <w:tc>
          <w:tcPr>
            <w:tcW w:w="513"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spacing w:line="560" w:lineRule="exact"/>
              <w:ind w:firstLine="594" w:firstLineChars="200"/>
              <w:jc w:val="center"/>
              <w:rPr>
                <w:rFonts w:ascii="仿宋_GB2312" w:hAnsi="Arial" w:cs="Arial"/>
                <w:color w:val="000000"/>
                <w:kern w:val="0"/>
                <w:szCs w:val="32"/>
              </w:rPr>
            </w:pPr>
            <w:r>
              <w:rPr>
                <w:rFonts w:hint="eastAsia" w:ascii="仿宋_GB2312" w:hAnsi="Arial" w:cs="Arial"/>
                <w:color w:val="000000"/>
                <w:kern w:val="0"/>
                <w:szCs w:val="32"/>
              </w:rPr>
              <w:t>序</w:t>
            </w:r>
            <w:r>
              <w:rPr>
                <w:rFonts w:hint="eastAsia" w:ascii="仿宋_GB2312" w:hAnsi="Arial" w:cs="Arial"/>
                <w:color w:val="000000"/>
                <w:kern w:val="0"/>
                <w:sz w:val="15"/>
                <w:szCs w:val="15"/>
                <w:lang w:eastAsia="zh-CN"/>
              </w:rPr>
              <w:t>序</w:t>
            </w:r>
            <w:r>
              <w:rPr>
                <w:rFonts w:hint="eastAsia" w:ascii="仿宋_GB2312" w:hAnsi="Arial" w:cs="Arial"/>
                <w:color w:val="000000"/>
                <w:kern w:val="0"/>
                <w:sz w:val="15"/>
                <w:szCs w:val="15"/>
              </w:rPr>
              <w:t>号</w:t>
            </w:r>
          </w:p>
        </w:tc>
        <w:tc>
          <w:tcPr>
            <w:tcW w:w="5647" w:type="dxa"/>
            <w:tcBorders>
              <w:top w:val="single" w:color="auto" w:sz="8" w:space="0"/>
              <w:left w:val="nil"/>
              <w:bottom w:val="single" w:color="auto" w:sz="8" w:space="0"/>
              <w:right w:val="single" w:color="auto" w:sz="8" w:space="0"/>
            </w:tcBorders>
            <w:shd w:val="clear" w:color="auto" w:fill="auto"/>
            <w:vAlign w:val="bottom"/>
          </w:tcPr>
          <w:p>
            <w:pPr>
              <w:widowControl/>
              <w:spacing w:line="560" w:lineRule="exact"/>
              <w:ind w:firstLine="594" w:firstLineChars="200"/>
              <w:jc w:val="center"/>
              <w:rPr>
                <w:rFonts w:ascii="仿宋_GB2312" w:hAnsi="Arial" w:cs="Arial"/>
                <w:color w:val="000000"/>
                <w:kern w:val="0"/>
                <w:szCs w:val="32"/>
              </w:rPr>
            </w:pPr>
            <w:r>
              <w:rPr>
                <w:rFonts w:hint="eastAsia" w:ascii="仿宋_GB2312" w:hAnsi="Arial" w:cs="Arial"/>
                <w:color w:val="000000"/>
                <w:kern w:val="0"/>
                <w:szCs w:val="32"/>
              </w:rPr>
              <w:t>项目名称</w:t>
            </w:r>
          </w:p>
        </w:tc>
        <w:tc>
          <w:tcPr>
            <w:tcW w:w="2337" w:type="dxa"/>
            <w:tcBorders>
              <w:top w:val="single" w:color="auto" w:sz="8" w:space="0"/>
              <w:left w:val="nil"/>
              <w:bottom w:val="single" w:color="auto" w:sz="8" w:space="0"/>
              <w:right w:val="single" w:color="auto" w:sz="8" w:space="0"/>
            </w:tcBorders>
            <w:shd w:val="clear" w:color="auto" w:fill="auto"/>
            <w:vAlign w:val="bottom"/>
          </w:tcPr>
          <w:p>
            <w:pPr>
              <w:widowControl/>
              <w:spacing w:line="560" w:lineRule="exact"/>
              <w:ind w:firstLine="594" w:firstLineChars="200"/>
              <w:jc w:val="center"/>
              <w:rPr>
                <w:rFonts w:ascii="仿宋_GB2312" w:hAnsi="Arial" w:cs="Arial"/>
                <w:color w:val="000000"/>
                <w:kern w:val="0"/>
                <w:szCs w:val="32"/>
              </w:rPr>
            </w:pPr>
            <w:r>
              <w:rPr>
                <w:rFonts w:hint="eastAsia" w:ascii="仿宋_GB2312" w:hAnsi="Arial" w:cs="Arial"/>
                <w:color w:val="000000"/>
                <w:kern w:val="0"/>
                <w:szCs w:val="32"/>
              </w:rPr>
              <w:t>金额(元)</w:t>
            </w:r>
          </w:p>
        </w:tc>
      </w:tr>
      <w:tr>
        <w:tblPrEx>
          <w:tblCellMar>
            <w:top w:w="0" w:type="dxa"/>
            <w:left w:w="108" w:type="dxa"/>
            <w:bottom w:w="0" w:type="dxa"/>
            <w:right w:w="108" w:type="dxa"/>
          </w:tblCellMar>
        </w:tblPrEx>
        <w:trPr>
          <w:trHeight w:val="308" w:hRule="atLeast"/>
        </w:trPr>
        <w:tc>
          <w:tcPr>
            <w:tcW w:w="513"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00" w:lineRule="exact"/>
              <w:ind w:firstLine="434" w:firstLineChars="200"/>
              <w:jc w:val="left"/>
              <w:textAlignment w:val="auto"/>
              <w:rPr>
                <w:rFonts w:ascii="仿宋_GB2312" w:hAnsi="宋体" w:cs="Arial"/>
                <w:color w:val="000000"/>
                <w:kern w:val="0"/>
                <w:sz w:val="24"/>
                <w:szCs w:val="24"/>
              </w:rPr>
            </w:pPr>
            <w:r>
              <w:rPr>
                <w:rFonts w:hint="eastAsia" w:ascii="仿宋_GB2312" w:hAnsi="宋体" w:cs="Arial"/>
                <w:color w:val="000000"/>
                <w:kern w:val="0"/>
                <w:sz w:val="24"/>
                <w:szCs w:val="24"/>
                <w:lang w:val="en-US" w:eastAsia="zh-CN"/>
              </w:rPr>
              <w:t>1</w:t>
            </w:r>
            <w:r>
              <w:rPr>
                <w:rFonts w:hint="eastAsia" w:ascii="仿宋_GB2312" w:hAnsi="宋体" w:cs="Arial"/>
                <w:color w:val="000000"/>
                <w:kern w:val="0"/>
                <w:sz w:val="24"/>
                <w:szCs w:val="24"/>
              </w:rPr>
              <w:t>1</w:t>
            </w:r>
          </w:p>
        </w:tc>
        <w:tc>
          <w:tcPr>
            <w:tcW w:w="5647"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sz w:val="24"/>
                <w:szCs w:val="24"/>
                <w:lang w:val="en-US" w:eastAsia="zh-CN"/>
              </w:rPr>
            </w:pPr>
            <w:r>
              <w:rPr>
                <w:rFonts w:hint="eastAsia" w:ascii="仿宋_GB2312" w:hAnsi="宋体" w:cs="宋体"/>
                <w:sz w:val="24"/>
                <w:szCs w:val="24"/>
                <w:lang w:val="en-US" w:eastAsia="zh-CN"/>
              </w:rPr>
              <w:t>机关建设专项经费</w:t>
            </w:r>
          </w:p>
        </w:tc>
        <w:tc>
          <w:tcPr>
            <w:tcW w:w="2337"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6857</w:t>
            </w:r>
          </w:p>
        </w:tc>
      </w:tr>
      <w:tr>
        <w:tblPrEx>
          <w:tblCellMar>
            <w:top w:w="0" w:type="dxa"/>
            <w:left w:w="108" w:type="dxa"/>
            <w:bottom w:w="0" w:type="dxa"/>
            <w:right w:w="108" w:type="dxa"/>
          </w:tblCellMar>
        </w:tblPrEx>
        <w:trPr>
          <w:trHeight w:val="308" w:hRule="atLeast"/>
        </w:trPr>
        <w:tc>
          <w:tcPr>
            <w:tcW w:w="513"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00" w:lineRule="exact"/>
              <w:ind w:firstLine="434" w:firstLineChars="200"/>
              <w:jc w:val="left"/>
              <w:textAlignment w:val="auto"/>
              <w:rPr>
                <w:rFonts w:ascii="仿宋_GB2312" w:hAnsi="宋体" w:cs="Arial"/>
                <w:color w:val="000000"/>
                <w:kern w:val="0"/>
                <w:sz w:val="24"/>
                <w:szCs w:val="24"/>
              </w:rPr>
            </w:pPr>
            <w:r>
              <w:rPr>
                <w:rFonts w:hint="eastAsia" w:ascii="仿宋_GB2312" w:hAnsi="宋体" w:cs="Arial"/>
                <w:color w:val="000000"/>
                <w:kern w:val="0"/>
                <w:sz w:val="24"/>
                <w:szCs w:val="24"/>
              </w:rPr>
              <w:t>22</w:t>
            </w:r>
          </w:p>
        </w:tc>
        <w:tc>
          <w:tcPr>
            <w:tcW w:w="5647"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仿宋_GB2312" w:hAnsi="宋体" w:cs="宋体"/>
                <w:sz w:val="24"/>
                <w:szCs w:val="24"/>
              </w:rPr>
            </w:pPr>
            <w:r>
              <w:rPr>
                <w:rFonts w:hint="eastAsia" w:ascii="仿宋_GB2312" w:hAnsi="宋体" w:cs="宋体"/>
                <w:sz w:val="24"/>
                <w:szCs w:val="24"/>
              </w:rPr>
              <w:t>机构编制执行情况和使用效益评估项目经费</w:t>
            </w:r>
          </w:p>
        </w:tc>
        <w:tc>
          <w:tcPr>
            <w:tcW w:w="2337"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13</w:t>
            </w:r>
          </w:p>
        </w:tc>
      </w:tr>
      <w:tr>
        <w:tblPrEx>
          <w:tblCellMar>
            <w:top w:w="0" w:type="dxa"/>
            <w:left w:w="108" w:type="dxa"/>
            <w:bottom w:w="0" w:type="dxa"/>
            <w:right w:w="108" w:type="dxa"/>
          </w:tblCellMar>
        </w:tblPrEx>
        <w:trPr>
          <w:trHeight w:val="308" w:hRule="atLeast"/>
        </w:trPr>
        <w:tc>
          <w:tcPr>
            <w:tcW w:w="513"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00" w:lineRule="exact"/>
              <w:ind w:firstLine="434" w:firstLineChars="200"/>
              <w:jc w:val="left"/>
              <w:textAlignment w:val="auto"/>
              <w:rPr>
                <w:rFonts w:hint="eastAsia" w:ascii="仿宋_GB2312" w:hAnsi="宋体" w:eastAsia="仿宋_GB2312" w:cs="Arial"/>
                <w:color w:val="000000"/>
                <w:kern w:val="0"/>
                <w:sz w:val="24"/>
                <w:szCs w:val="24"/>
                <w:lang w:val="en-US" w:eastAsia="zh-CN"/>
              </w:rPr>
            </w:pPr>
            <w:r>
              <w:rPr>
                <w:rFonts w:hint="eastAsia" w:ascii="仿宋_GB2312" w:hAnsi="宋体" w:cs="Arial"/>
                <w:color w:val="000000"/>
                <w:kern w:val="0"/>
                <w:sz w:val="24"/>
                <w:szCs w:val="24"/>
              </w:rPr>
              <w:t>7</w:t>
            </w:r>
            <w:r>
              <w:rPr>
                <w:rFonts w:hint="eastAsia" w:ascii="仿宋_GB2312" w:hAnsi="宋体" w:cs="Arial"/>
                <w:color w:val="000000"/>
                <w:kern w:val="0"/>
                <w:sz w:val="24"/>
                <w:szCs w:val="24"/>
                <w:lang w:val="en-US" w:eastAsia="zh-CN"/>
              </w:rPr>
              <w:t>3</w:t>
            </w:r>
          </w:p>
        </w:tc>
        <w:tc>
          <w:tcPr>
            <w:tcW w:w="5647"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sz w:val="24"/>
                <w:szCs w:val="24"/>
                <w:lang w:eastAsia="zh-CN"/>
              </w:rPr>
            </w:pPr>
            <w:r>
              <w:rPr>
                <w:rFonts w:hint="eastAsia" w:ascii="仿宋_GB2312"/>
                <w:sz w:val="24"/>
                <w:szCs w:val="24"/>
                <w:lang w:eastAsia="zh-CN"/>
              </w:rPr>
              <w:t>政府采购专项经费</w:t>
            </w:r>
          </w:p>
        </w:tc>
        <w:tc>
          <w:tcPr>
            <w:tcW w:w="2337"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4974.90</w:t>
            </w:r>
          </w:p>
        </w:tc>
      </w:tr>
      <w:tr>
        <w:tblPrEx>
          <w:tblCellMar>
            <w:top w:w="0" w:type="dxa"/>
            <w:left w:w="108" w:type="dxa"/>
            <w:bottom w:w="0" w:type="dxa"/>
            <w:right w:w="108" w:type="dxa"/>
          </w:tblCellMar>
        </w:tblPrEx>
        <w:trPr>
          <w:trHeight w:val="308" w:hRule="atLeast"/>
        </w:trPr>
        <w:tc>
          <w:tcPr>
            <w:tcW w:w="513"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00" w:lineRule="exact"/>
              <w:ind w:firstLine="434" w:firstLineChars="200"/>
              <w:jc w:val="left"/>
              <w:textAlignment w:val="auto"/>
              <w:rPr>
                <w:rFonts w:hint="eastAsia" w:ascii="仿宋_GB2312" w:hAnsi="宋体" w:cs="Arial"/>
                <w:color w:val="000000"/>
                <w:kern w:val="0"/>
                <w:sz w:val="24"/>
                <w:szCs w:val="24"/>
              </w:rPr>
            </w:pPr>
          </w:p>
        </w:tc>
        <w:tc>
          <w:tcPr>
            <w:tcW w:w="5647"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sz w:val="24"/>
                <w:szCs w:val="24"/>
                <w:lang w:eastAsia="zh-CN"/>
              </w:rPr>
            </w:pPr>
            <w:r>
              <w:rPr>
                <w:rFonts w:hint="eastAsia" w:ascii="仿宋_GB2312"/>
                <w:sz w:val="24"/>
                <w:szCs w:val="24"/>
                <w:lang w:eastAsia="zh-CN"/>
              </w:rPr>
              <w:t>合计</w:t>
            </w:r>
          </w:p>
        </w:tc>
        <w:tc>
          <w:tcPr>
            <w:tcW w:w="2337"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141831.90</w:t>
            </w:r>
          </w:p>
        </w:tc>
      </w:tr>
    </w:tbl>
    <w:p>
      <w:pPr>
        <w:spacing w:line="560" w:lineRule="exact"/>
        <w:ind w:firstLine="594" w:firstLineChars="200"/>
        <w:outlineLvl w:val="0"/>
        <w:rPr>
          <w:rFonts w:ascii="仿宋_GB2312"/>
          <w:szCs w:val="32"/>
        </w:rPr>
      </w:pPr>
      <w:r>
        <w:rPr>
          <w:rFonts w:hint="eastAsia" w:ascii="楷体" w:hAnsi="楷体" w:eastAsia="楷体"/>
          <w:szCs w:val="32"/>
        </w:rPr>
        <w:t>（二）项目绩效目标。</w:t>
      </w:r>
      <w:r>
        <w:rPr>
          <w:rFonts w:hint="eastAsia" w:ascii="仿宋_GB2312"/>
          <w:szCs w:val="32"/>
        </w:rPr>
        <w:t>我单位的所有项目都是紧紧围绕</w:t>
      </w:r>
      <w:r>
        <w:rPr>
          <w:rFonts w:hint="eastAsia" w:ascii="仿宋" w:hAnsi="仿宋" w:eastAsia="仿宋" w:cs="仿宋"/>
        </w:rPr>
        <w:t>认真贯彻执行党</w:t>
      </w:r>
      <w:bookmarkStart w:id="0" w:name="_GoBack"/>
      <w:bookmarkEnd w:id="0"/>
      <w:r>
        <w:rPr>
          <w:rFonts w:hint="eastAsia" w:ascii="仿宋" w:hAnsi="仿宋" w:eastAsia="仿宋" w:cs="仿宋"/>
        </w:rPr>
        <w:t>中央、国务院和省委、省政府，市委、市政府机构编制管理的方针、政策及法规，拟订全区机构编制管理办法，并组织实施。</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spacing w:line="560" w:lineRule="exact"/>
        <w:ind w:firstLine="594" w:firstLineChars="200"/>
        <w:rPr>
          <w:rFonts w:ascii="仿宋_GB2312"/>
          <w:bCs/>
          <w:szCs w:val="32"/>
        </w:rPr>
      </w:pPr>
      <w:r>
        <w:rPr>
          <w:rFonts w:hint="eastAsia" w:ascii="仿宋_GB2312" w:hAnsi="仿宋_GB2312" w:cs="仿宋_GB2312"/>
          <w:szCs w:val="32"/>
        </w:rPr>
        <w:t>项目资金来源于公共财政预算资金，由区财政统一安排</w:t>
      </w:r>
      <w:r>
        <w:rPr>
          <w:rFonts w:hint="default" w:ascii="Times New Roman" w:hAnsi="Times New Roman" w:cs="Times New Roman"/>
          <w:szCs w:val="32"/>
        </w:rPr>
        <w:t>，2021</w:t>
      </w:r>
      <w:r>
        <w:rPr>
          <w:rFonts w:hint="eastAsia" w:ascii="仿宋_GB2312" w:hAnsi="仿宋_GB2312" w:cs="仿宋_GB2312"/>
          <w:szCs w:val="32"/>
        </w:rPr>
        <w:t>年项目资金实际支出</w:t>
      </w:r>
      <w:r>
        <w:rPr>
          <w:rFonts w:hint="eastAsia" w:ascii="Times New Roman" w:hAnsi="Times New Roman" w:cs="Times New Roman"/>
          <w:szCs w:val="32"/>
          <w:lang w:val="en-US" w:eastAsia="zh-CN"/>
        </w:rPr>
        <w:t>14.18万</w:t>
      </w:r>
      <w:r>
        <w:rPr>
          <w:rFonts w:ascii="Times New Roman" w:hAnsi="Times New Roman" w:cs="Times New Roman"/>
          <w:szCs w:val="32"/>
        </w:rPr>
        <w:t>元</w:t>
      </w:r>
      <w:r>
        <w:rPr>
          <w:rFonts w:hint="eastAsia" w:ascii="仿宋_GB2312"/>
          <w:szCs w:val="32"/>
        </w:rPr>
        <w:t>。项目支出实际使用过程中，呈贡区委编办严格审查编制方案和执行政府采购程序，对不符合规定的支出做到事前控制，保证了项目资金使用的合规、有效。</w:t>
      </w:r>
    </w:p>
    <w:p>
      <w:pPr>
        <w:numPr>
          <w:ilvl w:val="0"/>
          <w:numId w:val="1"/>
        </w:numPr>
        <w:topLinePunct/>
        <w:ind w:firstLine="594" w:firstLineChars="200"/>
        <w:rPr>
          <w:rFonts w:hint="eastAsia" w:ascii="黑体" w:eastAsia="黑体"/>
          <w:szCs w:val="32"/>
          <w:lang w:eastAsia="zh-CN"/>
        </w:rPr>
      </w:pPr>
      <w:r>
        <w:rPr>
          <w:rFonts w:hint="eastAsia" w:ascii="黑体" w:eastAsia="黑体"/>
          <w:szCs w:val="32"/>
          <w:lang w:eastAsia="zh-CN"/>
        </w:rPr>
        <w:t>项目组织实施情况</w:t>
      </w:r>
    </w:p>
    <w:p>
      <w:pPr>
        <w:topLinePunct/>
        <w:spacing w:line="560" w:lineRule="exact"/>
        <w:ind w:firstLine="594" w:firstLineChars="200"/>
        <w:rPr>
          <w:rFonts w:ascii="楷体" w:hAnsi="楷体" w:eastAsia="楷体" w:cs="楷体"/>
          <w:szCs w:val="32"/>
        </w:rPr>
      </w:pPr>
      <w:r>
        <w:rPr>
          <w:rFonts w:hint="eastAsia" w:ascii="楷体" w:hAnsi="楷体" w:eastAsia="楷体" w:cs="楷体"/>
          <w:szCs w:val="32"/>
        </w:rPr>
        <w:t>（一）绩效评价目的。</w:t>
      </w:r>
    </w:p>
    <w:p>
      <w:pPr>
        <w:topLinePunct/>
        <w:spacing w:line="560" w:lineRule="exact"/>
        <w:ind w:firstLine="594" w:firstLineChars="200"/>
        <w:rPr>
          <w:rFonts w:ascii="仿宋_GB2312"/>
          <w:szCs w:val="32"/>
        </w:rPr>
      </w:pPr>
      <w:r>
        <w:rPr>
          <w:rFonts w:hint="eastAsia" w:ascii="仿宋_GB2312"/>
          <w:szCs w:val="32"/>
        </w:rPr>
        <w:t>本次项目自评的目的是了解我单位</w:t>
      </w:r>
      <w:r>
        <w:rPr>
          <w:rFonts w:hint="default" w:ascii="Times New Roman" w:hAnsi="Times New Roman" w:cs="Times New Roman"/>
          <w:szCs w:val="32"/>
        </w:rPr>
        <w:t>202</w:t>
      </w:r>
      <w:r>
        <w:rPr>
          <w:rFonts w:hint="default" w:ascii="Times New Roman" w:hAnsi="Times New Roman" w:cs="Times New Roman"/>
          <w:szCs w:val="32"/>
          <w:lang w:val="en-US" w:eastAsia="zh-CN"/>
        </w:rPr>
        <w:t>2</w:t>
      </w:r>
      <w:r>
        <w:rPr>
          <w:rFonts w:hint="eastAsia" w:ascii="仿宋_GB2312"/>
          <w:szCs w:val="32"/>
        </w:rPr>
        <w:t>年度财政资金预算支出的绩效状况，为今后预算安排提供决策支持。进一步增强本单位支出管理的责任，优化支出结构，提升预算管理水平，保障更好地履行职责，提高公务服务质量和财政资金使用效益，促进当地经济健康发展。</w:t>
      </w:r>
    </w:p>
    <w:p>
      <w:pPr>
        <w:numPr>
          <w:ilvl w:val="0"/>
          <w:numId w:val="2"/>
        </w:numPr>
        <w:topLinePunct/>
        <w:spacing w:line="560" w:lineRule="exact"/>
        <w:ind w:firstLine="594" w:firstLineChars="200"/>
        <w:rPr>
          <w:rFonts w:ascii="楷体" w:hAnsi="楷体" w:eastAsia="楷体" w:cs="楷体"/>
          <w:szCs w:val="32"/>
        </w:rPr>
      </w:pPr>
      <w:r>
        <w:rPr>
          <w:rFonts w:hint="eastAsia" w:ascii="楷体" w:hAnsi="楷体" w:eastAsia="楷体" w:cs="楷体"/>
          <w:szCs w:val="32"/>
        </w:rPr>
        <w:t>绩效评价工作过程，主要包括前期准备、组织实施和分析评价等内容。</w:t>
      </w:r>
    </w:p>
    <w:p>
      <w:pPr>
        <w:topLinePunct/>
        <w:spacing w:line="560" w:lineRule="exact"/>
        <w:ind w:firstLine="594" w:firstLineChars="200"/>
        <w:rPr>
          <w:rFonts w:ascii="仿宋_GB2312"/>
          <w:szCs w:val="32"/>
        </w:rPr>
      </w:pPr>
      <w:r>
        <w:rPr>
          <w:rFonts w:hint="eastAsia" w:ascii="仿宋_GB2312"/>
          <w:szCs w:val="32"/>
        </w:rPr>
        <w:t>根据呈贡区财政局关于预算支出绩效自评工作要求，呈贡区委机构编制委员会办公室成立了以主任为组长的绩效评价工作领导小组、制定了部门项目支出绩效评价的工作方案，认真开展自评工作。绩效评价工作主要如下：</w:t>
      </w:r>
    </w:p>
    <w:p>
      <w:pPr>
        <w:topLinePunct/>
        <w:spacing w:line="560" w:lineRule="exact"/>
        <w:ind w:firstLine="594" w:firstLineChars="200"/>
        <w:rPr>
          <w:rFonts w:hint="default" w:ascii="Times New Roman" w:hAnsi="Times New Roman" w:cs="Times New Roman"/>
          <w:szCs w:val="32"/>
        </w:rPr>
      </w:pPr>
      <w:r>
        <w:rPr>
          <w:rFonts w:hint="eastAsia" w:ascii="仿宋_GB2312"/>
          <w:szCs w:val="32"/>
        </w:rPr>
        <w:t>（1）核实数据</w:t>
      </w:r>
      <w:r>
        <w:rPr>
          <w:rFonts w:hint="default" w:ascii="Times New Roman" w:hAnsi="Times New Roman" w:cs="Times New Roman"/>
          <w:szCs w:val="32"/>
        </w:rPr>
        <w:t>。对202</w:t>
      </w:r>
      <w:r>
        <w:rPr>
          <w:rFonts w:hint="default" w:ascii="Times New Roman" w:hAnsi="Times New Roman" w:cs="Times New Roman"/>
          <w:szCs w:val="32"/>
          <w:lang w:val="en-US" w:eastAsia="zh-CN"/>
        </w:rPr>
        <w:t>2</w:t>
      </w:r>
      <w:r>
        <w:rPr>
          <w:rFonts w:hint="default" w:ascii="Times New Roman" w:hAnsi="Times New Roman" w:cs="Times New Roman"/>
          <w:szCs w:val="32"/>
        </w:rPr>
        <w:t>年度部门整体支出数据的准确性、真实性进行核实，将202</w:t>
      </w:r>
      <w:r>
        <w:rPr>
          <w:rFonts w:hint="default" w:ascii="Times New Roman" w:hAnsi="Times New Roman" w:cs="Times New Roman"/>
          <w:szCs w:val="32"/>
          <w:lang w:val="en-US" w:eastAsia="zh-CN"/>
        </w:rPr>
        <w:t>1</w:t>
      </w:r>
      <w:r>
        <w:rPr>
          <w:rFonts w:hint="default" w:ascii="Times New Roman" w:hAnsi="Times New Roman" w:cs="Times New Roman"/>
          <w:szCs w:val="32"/>
        </w:rPr>
        <w:t>年度和202</w:t>
      </w:r>
      <w:r>
        <w:rPr>
          <w:rFonts w:hint="default" w:ascii="Times New Roman" w:hAnsi="Times New Roman" w:cs="Times New Roman"/>
          <w:szCs w:val="32"/>
          <w:lang w:val="en-US" w:eastAsia="zh-CN"/>
        </w:rPr>
        <w:t>2</w:t>
      </w:r>
      <w:r>
        <w:rPr>
          <w:rFonts w:hint="default" w:ascii="Times New Roman" w:hAnsi="Times New Roman" w:cs="Times New Roman"/>
          <w:szCs w:val="32"/>
        </w:rPr>
        <w:t>年度部门项目支出情况进行比较分析。</w:t>
      </w:r>
    </w:p>
    <w:p>
      <w:pPr>
        <w:topLinePunct/>
        <w:spacing w:line="560" w:lineRule="exact"/>
        <w:ind w:firstLine="594" w:firstLineChars="200"/>
        <w:rPr>
          <w:rFonts w:hint="default" w:ascii="仿宋_GB2312"/>
          <w:szCs w:val="32"/>
        </w:rPr>
      </w:pPr>
      <w:r>
        <w:rPr>
          <w:rFonts w:hint="default" w:ascii="仿宋_GB2312"/>
          <w:szCs w:val="32"/>
        </w:rPr>
        <w:t>（2）查阅资料。查</w:t>
      </w:r>
      <w:r>
        <w:rPr>
          <w:rFonts w:hint="default" w:ascii="Times New Roman" w:hAnsi="Times New Roman" w:cs="Times New Roman"/>
          <w:szCs w:val="32"/>
        </w:rPr>
        <w:t>阅202</w:t>
      </w:r>
      <w:r>
        <w:rPr>
          <w:rFonts w:hint="default" w:ascii="Times New Roman" w:hAnsi="Times New Roman" w:cs="Times New Roman"/>
          <w:szCs w:val="32"/>
          <w:lang w:val="en-US" w:eastAsia="zh-CN"/>
        </w:rPr>
        <w:t>2</w:t>
      </w:r>
      <w:r>
        <w:rPr>
          <w:rFonts w:hint="default" w:ascii="Times New Roman" w:hAnsi="Times New Roman" w:cs="Times New Roman"/>
          <w:szCs w:val="32"/>
        </w:rPr>
        <w:t>年</w:t>
      </w:r>
      <w:r>
        <w:rPr>
          <w:rFonts w:hint="default" w:ascii="仿宋_GB2312"/>
          <w:szCs w:val="32"/>
        </w:rPr>
        <w:t>度预算安排、预算追加、资金管理、经费支出、资产管理等相关文件资料和财务凭证。</w:t>
      </w:r>
    </w:p>
    <w:p>
      <w:pPr>
        <w:topLinePunct/>
        <w:spacing w:line="560" w:lineRule="exact"/>
        <w:ind w:firstLine="594" w:firstLineChars="200"/>
        <w:rPr>
          <w:rFonts w:hint="default" w:ascii="仿宋_GB2312"/>
          <w:szCs w:val="32"/>
        </w:rPr>
      </w:pPr>
      <w:r>
        <w:rPr>
          <w:rFonts w:hint="default" w:ascii="仿宋_GB2312"/>
          <w:szCs w:val="32"/>
        </w:rPr>
        <w:t>（3）归纳汇总。对收集的评价材料结合本单位情况进行综合分析、归纳汇总。</w:t>
      </w:r>
    </w:p>
    <w:p>
      <w:pPr>
        <w:topLinePunct/>
        <w:spacing w:line="560" w:lineRule="exact"/>
        <w:ind w:firstLine="594" w:firstLineChars="200"/>
        <w:rPr>
          <w:rFonts w:hint="default" w:ascii="仿宋_GB2312"/>
          <w:szCs w:val="32"/>
        </w:rPr>
      </w:pPr>
      <w:r>
        <w:rPr>
          <w:rFonts w:hint="default" w:ascii="仿宋_GB2312"/>
          <w:szCs w:val="32"/>
        </w:rPr>
        <w:t>（4）根据评价材料结合各项评价指标进行分析评分。</w:t>
      </w:r>
    </w:p>
    <w:p>
      <w:pPr>
        <w:topLinePunct/>
        <w:spacing w:line="560" w:lineRule="exact"/>
        <w:ind w:firstLine="594" w:firstLineChars="200"/>
        <w:rPr>
          <w:rFonts w:hint="default" w:ascii="仿宋_GB2312"/>
          <w:szCs w:val="32"/>
        </w:rPr>
      </w:pPr>
      <w:r>
        <w:rPr>
          <w:rFonts w:hint="default" w:ascii="仿宋_GB2312"/>
          <w:szCs w:val="32"/>
        </w:rPr>
        <w:t>（5）形成绩效评价自评报告。</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spacing w:line="560" w:lineRule="exact"/>
        <w:ind w:firstLine="594" w:firstLineChars="200"/>
        <w:outlineLvl w:val="0"/>
        <w:rPr>
          <w:rFonts w:hint="eastAsia" w:ascii="楷体" w:hAnsi="楷体" w:eastAsia="楷体" w:cs="楷体"/>
          <w:szCs w:val="32"/>
        </w:rPr>
      </w:pPr>
      <w:r>
        <w:rPr>
          <w:rFonts w:hint="eastAsia" w:ascii="楷体" w:hAnsi="楷体" w:eastAsia="楷体" w:cs="楷体"/>
          <w:szCs w:val="32"/>
        </w:rPr>
        <w:t>（一）项目资金情况分析。</w:t>
      </w:r>
    </w:p>
    <w:p>
      <w:pPr>
        <w:spacing w:line="560" w:lineRule="exact"/>
        <w:ind w:firstLine="594" w:firstLineChars="200"/>
        <w:outlineLvl w:val="0"/>
        <w:rPr>
          <w:rFonts w:ascii="仿宋_GB2312"/>
          <w:szCs w:val="32"/>
        </w:rPr>
      </w:pPr>
      <w:r>
        <w:rPr>
          <w:rFonts w:hint="eastAsia" w:ascii="仿宋_GB2312"/>
          <w:szCs w:val="32"/>
        </w:rPr>
        <w:t>一是我单位项目资金到位及时，没有出现资金拖沓现象。二是</w:t>
      </w:r>
      <w:r>
        <w:rPr>
          <w:rFonts w:hint="default" w:ascii="Times New Roman" w:hAnsi="Times New Roman" w:cs="Times New Roman"/>
          <w:szCs w:val="32"/>
        </w:rPr>
        <w:t>202</w:t>
      </w:r>
      <w:r>
        <w:rPr>
          <w:rFonts w:hint="default" w:ascii="Times New Roman" w:hAnsi="Times New Roman" w:cs="Times New Roman"/>
          <w:szCs w:val="32"/>
          <w:lang w:val="en-US" w:eastAsia="zh-CN"/>
        </w:rPr>
        <w:t>2</w:t>
      </w:r>
      <w:r>
        <w:rPr>
          <w:rFonts w:hint="default" w:ascii="Times New Roman" w:hAnsi="Times New Roman" w:cs="Times New Roman"/>
          <w:szCs w:val="32"/>
        </w:rPr>
        <w:t>年</w:t>
      </w:r>
      <w:r>
        <w:rPr>
          <w:rFonts w:hint="eastAsia" w:ascii="仿宋_GB2312"/>
          <w:szCs w:val="32"/>
        </w:rPr>
        <w:t>项目资金实际使</w:t>
      </w:r>
      <w:r>
        <w:rPr>
          <w:rFonts w:hint="default" w:ascii="Times New Roman" w:hAnsi="Times New Roman" w:cs="Times New Roman"/>
          <w:szCs w:val="32"/>
          <w:lang w:eastAsia="zh-CN"/>
        </w:rPr>
        <w:t>用</w:t>
      </w:r>
      <w:r>
        <w:rPr>
          <w:rFonts w:hint="default" w:ascii="Times New Roman" w:hAnsi="Times New Roman" w:cs="Times New Roman"/>
          <w:szCs w:val="32"/>
          <w:lang w:val="en-US" w:eastAsia="zh-CN"/>
        </w:rPr>
        <w:t>14.18万</w:t>
      </w:r>
      <w:r>
        <w:rPr>
          <w:rFonts w:hint="default" w:ascii="Times New Roman" w:hAnsi="Times New Roman" w:cs="Times New Roman"/>
          <w:szCs w:val="32"/>
        </w:rPr>
        <w:t>元。三是我单位项目资金严格按照相关财务制度进行管理使用，</w:t>
      </w:r>
      <w:r>
        <w:rPr>
          <w:rFonts w:hint="eastAsia" w:ascii="仿宋_GB2312"/>
          <w:szCs w:val="32"/>
        </w:rPr>
        <w:t>不存在挪用现象。</w:t>
      </w:r>
    </w:p>
    <w:p>
      <w:pPr>
        <w:spacing w:line="560" w:lineRule="exact"/>
        <w:ind w:firstLine="594" w:firstLineChars="200"/>
        <w:outlineLvl w:val="0"/>
        <w:rPr>
          <w:rFonts w:hint="eastAsia" w:ascii="楷体" w:hAnsi="楷体" w:eastAsia="楷体" w:cs="楷体"/>
          <w:szCs w:val="32"/>
        </w:rPr>
      </w:pPr>
      <w:r>
        <w:rPr>
          <w:rFonts w:hint="eastAsia" w:ascii="楷体" w:hAnsi="楷体" w:eastAsia="楷体" w:cs="楷体"/>
          <w:szCs w:val="32"/>
        </w:rPr>
        <w:t>（二）项目实施情况分析。</w:t>
      </w:r>
    </w:p>
    <w:p>
      <w:pPr>
        <w:spacing w:line="560" w:lineRule="exact"/>
        <w:ind w:firstLine="562" w:firstLineChars="200"/>
        <w:outlineLvl w:val="0"/>
        <w:rPr>
          <w:rFonts w:ascii="仿宋_GB2312"/>
          <w:w w:val="95"/>
          <w:sz w:val="32"/>
          <w:szCs w:val="32"/>
        </w:rPr>
      </w:pPr>
      <w:r>
        <w:rPr>
          <w:rFonts w:hint="eastAsia" w:ascii="仿宋_GB2312"/>
          <w:w w:val="95"/>
          <w:sz w:val="32"/>
          <w:szCs w:val="32"/>
        </w:rPr>
        <w:t>我单位积极开展相关项目组织协调工作，使项目按时按质完成。</w:t>
      </w:r>
    </w:p>
    <w:p>
      <w:pPr>
        <w:spacing w:line="560" w:lineRule="exact"/>
        <w:ind w:firstLine="594" w:firstLineChars="200"/>
        <w:outlineLvl w:val="0"/>
        <w:rPr>
          <w:rFonts w:ascii="楷体" w:hAnsi="楷体" w:eastAsia="楷体" w:cs="楷体"/>
          <w:szCs w:val="32"/>
        </w:rPr>
      </w:pPr>
      <w:r>
        <w:rPr>
          <w:rFonts w:hint="eastAsia" w:ascii="楷体" w:hAnsi="楷体" w:eastAsia="楷体" w:cs="楷体"/>
          <w:szCs w:val="32"/>
        </w:rPr>
        <w:t>（三）项目绩效情况分析。</w:t>
      </w:r>
    </w:p>
    <w:p>
      <w:pPr>
        <w:topLinePunct/>
        <w:spacing w:line="560" w:lineRule="exact"/>
        <w:ind w:firstLine="594" w:firstLineChars="200"/>
        <w:rPr>
          <w:rFonts w:ascii="仿宋_GB2312" w:hAnsiTheme="minorEastAsia" w:cstheme="minorEastAsia"/>
          <w:b/>
          <w:bCs/>
          <w:szCs w:val="32"/>
        </w:rPr>
      </w:pPr>
      <w:r>
        <w:rPr>
          <w:rFonts w:hint="eastAsia" w:ascii="仿宋_GB2312" w:hAnsiTheme="minorEastAsia" w:cstheme="minorEastAsia"/>
          <w:b/>
          <w:bCs/>
          <w:szCs w:val="32"/>
        </w:rPr>
        <w:t>1、经济性分析，主要包括成本（预算）控制情况和成本（预算）节约情况。</w:t>
      </w:r>
    </w:p>
    <w:p>
      <w:pPr>
        <w:pStyle w:val="4"/>
        <w:spacing w:line="560" w:lineRule="exact"/>
        <w:ind w:firstLine="594" w:firstLineChars="200"/>
        <w:rPr>
          <w:rFonts w:ascii="仿宋_GB2312" w:hAnsi="Times New Roman" w:eastAsia="仿宋_GB2312" w:cs="Times New Roman"/>
          <w:kern w:val="2"/>
          <w:sz w:val="32"/>
          <w:szCs w:val="32"/>
        </w:rPr>
      </w:pPr>
      <w:r>
        <w:rPr>
          <w:rFonts w:hint="default" w:ascii="Times New Roman" w:hAnsi="Times New Roman" w:eastAsia="仿宋_GB2312" w:cs="Times New Roman"/>
          <w:kern w:val="2"/>
          <w:sz w:val="32"/>
          <w:szCs w:val="32"/>
        </w:rPr>
        <w:t>（1）</w:t>
      </w:r>
      <w:r>
        <w:rPr>
          <w:rFonts w:hint="eastAsia" w:ascii="仿宋_GB2312" w:hAnsi="Times New Roman" w:eastAsia="仿宋_GB2312" w:cs="Times New Roman"/>
          <w:kern w:val="2"/>
          <w:sz w:val="32"/>
          <w:szCs w:val="32"/>
        </w:rPr>
        <w:t>成本（预算）控制情况</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年呈</w:t>
      </w:r>
      <w:r>
        <w:rPr>
          <w:rFonts w:hint="eastAsia" w:ascii="仿宋_GB2312" w:hAnsi="Times New Roman" w:eastAsia="仿宋_GB2312" w:cs="Times New Roman"/>
          <w:kern w:val="2"/>
          <w:sz w:val="32"/>
          <w:szCs w:val="32"/>
        </w:rPr>
        <w:t>贡区委编办项目支出按照区财政局下达的预算批复，对于项目按照实际开展进度均衡支付；实现内部报告审批制度，实时监控支出情况；对于项目支出的经费使用情况进行监督检查，政府采购目录内的采购支出均按照流程通过电子卖场采购或委托政府采购中心等有政府采购资质的代理机构采购。</w:t>
      </w:r>
    </w:p>
    <w:p>
      <w:pPr>
        <w:widowControl/>
        <w:numPr>
          <w:ilvl w:val="0"/>
          <w:numId w:val="3"/>
        </w:numPr>
        <w:overflowPunct w:val="0"/>
        <w:autoSpaceDE w:val="0"/>
        <w:autoSpaceDN w:val="0"/>
        <w:adjustRightInd w:val="0"/>
        <w:spacing w:line="560" w:lineRule="exact"/>
        <w:ind w:left="0" w:firstLine="594" w:firstLineChars="200"/>
        <w:rPr>
          <w:rFonts w:ascii="仿宋_GB2312"/>
          <w:szCs w:val="32"/>
        </w:rPr>
      </w:pPr>
      <w:r>
        <w:rPr>
          <w:rFonts w:hint="eastAsia" w:ascii="仿宋_GB2312" w:hAnsiTheme="minorEastAsia" w:cstheme="minorEastAsia"/>
          <w:szCs w:val="32"/>
        </w:rPr>
        <w:t>预算支出节约情况</w:t>
      </w:r>
      <w:r>
        <w:rPr>
          <w:rFonts w:hint="eastAsia" w:ascii="仿宋_GB2312"/>
          <w:szCs w:val="32"/>
        </w:rPr>
        <w:t>：项目支出严格按照节约高效的原则，按时按质完成。</w:t>
      </w:r>
    </w:p>
    <w:p>
      <w:pPr>
        <w:topLinePunct/>
        <w:spacing w:line="560" w:lineRule="exact"/>
        <w:ind w:firstLine="594" w:firstLineChars="200"/>
        <w:rPr>
          <w:rFonts w:ascii="仿宋_GB2312" w:hAnsiTheme="minorEastAsia" w:cstheme="minorEastAsia"/>
          <w:b/>
          <w:bCs/>
          <w:szCs w:val="32"/>
        </w:rPr>
      </w:pPr>
      <w:r>
        <w:rPr>
          <w:rFonts w:hint="eastAsia" w:ascii="仿宋_GB2312" w:hAnsiTheme="minorEastAsia" w:cstheme="minorEastAsia"/>
          <w:b/>
          <w:bCs/>
          <w:szCs w:val="32"/>
        </w:rPr>
        <w:t>2、效率性分析，主要包括实施进度和完成质量。</w:t>
      </w:r>
    </w:p>
    <w:p>
      <w:pPr>
        <w:widowControl/>
        <w:overflowPunct w:val="0"/>
        <w:autoSpaceDE w:val="0"/>
        <w:autoSpaceDN w:val="0"/>
        <w:adjustRightInd w:val="0"/>
        <w:spacing w:line="560" w:lineRule="exact"/>
        <w:ind w:firstLine="594" w:firstLineChars="200"/>
        <w:rPr>
          <w:rFonts w:hint="default" w:ascii="Times New Roman" w:hAnsi="Times New Roman" w:cs="Times New Roman"/>
          <w:szCs w:val="32"/>
        </w:rPr>
      </w:pPr>
      <w:r>
        <w:rPr>
          <w:rFonts w:hint="default" w:ascii="Times New Roman" w:hAnsi="Times New Roman" w:cs="Times New Roman"/>
          <w:szCs w:val="32"/>
        </w:rPr>
        <w:t>（1）实施进度：202</w:t>
      </w:r>
      <w:r>
        <w:rPr>
          <w:rFonts w:hint="default" w:ascii="Times New Roman" w:hAnsi="Times New Roman" w:cs="Times New Roman"/>
          <w:szCs w:val="32"/>
          <w:lang w:val="en-US" w:eastAsia="zh-CN"/>
        </w:rPr>
        <w:t>2</w:t>
      </w:r>
      <w:r>
        <w:rPr>
          <w:rFonts w:hint="default" w:ascii="Times New Roman" w:hAnsi="Times New Roman" w:cs="Times New Roman"/>
          <w:szCs w:val="32"/>
        </w:rPr>
        <w:t>年呈贡区委编办各项日常性工作正常有效开展。</w:t>
      </w:r>
    </w:p>
    <w:p>
      <w:pPr>
        <w:keepNext w:val="0"/>
        <w:keepLines w:val="0"/>
        <w:pageBreakBefore w:val="0"/>
        <w:widowControl w:val="0"/>
        <w:kinsoku/>
        <w:wordWrap/>
        <w:overflowPunct/>
        <w:topLinePunct/>
        <w:autoSpaceDE/>
        <w:autoSpaceDN/>
        <w:bidi w:val="0"/>
        <w:adjustRightInd/>
        <w:snapToGrid w:val="0"/>
        <w:spacing w:line="560" w:lineRule="exact"/>
        <w:ind w:firstLine="594" w:firstLineChars="200"/>
        <w:textAlignment w:val="auto"/>
        <w:rPr>
          <w:rFonts w:hint="eastAsia" w:ascii="仿宋_GB2312"/>
          <w:szCs w:val="32"/>
        </w:rPr>
      </w:pPr>
      <w:r>
        <w:rPr>
          <w:rFonts w:hint="default" w:ascii="Times New Roman" w:hAnsi="Times New Roman" w:cs="Times New Roman"/>
          <w:szCs w:val="32"/>
        </w:rPr>
        <w:t xml:space="preserve"> (2)完成质量：202</w:t>
      </w:r>
      <w:r>
        <w:rPr>
          <w:rFonts w:hint="default" w:ascii="Times New Roman" w:hAnsi="Times New Roman" w:cs="Times New Roman"/>
          <w:szCs w:val="32"/>
          <w:lang w:val="en-US" w:eastAsia="zh-CN"/>
        </w:rPr>
        <w:t>2</w:t>
      </w:r>
      <w:r>
        <w:rPr>
          <w:rFonts w:hint="default" w:ascii="Times New Roman" w:hAnsi="Times New Roman" w:cs="Times New Roman"/>
          <w:szCs w:val="32"/>
        </w:rPr>
        <w:t>年，</w:t>
      </w:r>
      <w:r>
        <w:rPr>
          <w:rFonts w:hint="default" w:ascii="Times New Roman" w:hAnsi="Times New Roman" w:eastAsia="仿宋_GB2312" w:cs="Times New Roman"/>
          <w:szCs w:val="32"/>
        </w:rPr>
        <w:t>区委编各项目严格按照年初制定计划及预算完成，各</w:t>
      </w:r>
      <w:r>
        <w:rPr>
          <w:rFonts w:hint="eastAsia" w:ascii="仿宋_GB2312" w:hAnsi="仿宋_GB2312" w:eastAsia="仿宋_GB2312" w:cs="仿宋_GB2312"/>
          <w:szCs w:val="32"/>
        </w:rPr>
        <w:t>项目工作取得阶段性进展。通过日常安排布置、督促检查等方式有效提升全体干部职工责任意识，切实提升服务的能力和水平。在费用性支出中，呈贡区委编办按照中央八项规定及《党政机关厉行节约反对浪费条例》等制度，在保障日</w:t>
      </w:r>
      <w:r>
        <w:rPr>
          <w:rFonts w:hint="eastAsia" w:ascii="仿宋_GB2312"/>
          <w:szCs w:val="32"/>
        </w:rPr>
        <w:t>常工作的正常有序开展的情况下，做到了资金略有结余。项目支出方面，呈贡区编办严格项目资金审批手续，执行相应的培训费、差旅费支出标准，按财务报销流程给予报销，按对不符合规定的支出做到事前控制，保证了项目资金使用的合规、有效。</w:t>
      </w:r>
    </w:p>
    <w:p>
      <w:pPr>
        <w:keepNext w:val="0"/>
        <w:keepLines w:val="0"/>
        <w:pageBreakBefore w:val="0"/>
        <w:widowControl w:val="0"/>
        <w:kinsoku/>
        <w:wordWrap/>
        <w:overflowPunct/>
        <w:topLinePunct/>
        <w:autoSpaceDE/>
        <w:autoSpaceDN/>
        <w:bidi w:val="0"/>
        <w:adjustRightInd/>
        <w:spacing w:line="56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autoSpaceDE/>
        <w:autoSpaceDN/>
        <w:bidi w:val="0"/>
        <w:adjustRightInd/>
        <w:spacing w:line="560" w:lineRule="exact"/>
        <w:ind w:firstLine="594" w:firstLineChars="200"/>
        <w:textAlignment w:val="auto"/>
        <w:rPr>
          <w:rFonts w:hint="eastAsia" w:ascii="仿宋_GB2312" w:hAnsi="仿宋_GB2312" w:eastAsia="仿宋_GB2312" w:cs="仿宋_GB2312"/>
          <w:szCs w:val="32"/>
        </w:rPr>
      </w:pPr>
      <w:r>
        <w:rPr>
          <w:rFonts w:hint="default" w:ascii="Times New Roman" w:hAnsi="Times New Roman" w:eastAsia="仿宋_GB2312" w:cs="Times New Roman"/>
        </w:rPr>
        <w:t>202</w:t>
      </w:r>
      <w:r>
        <w:rPr>
          <w:rFonts w:hint="default" w:ascii="Times New Roman" w:hAnsi="Times New Roman" w:eastAsia="仿宋_GB2312" w:cs="Times New Roman"/>
          <w:lang w:val="en-US" w:eastAsia="zh-CN"/>
        </w:rPr>
        <w:t>2</w:t>
      </w:r>
      <w:r>
        <w:rPr>
          <w:rFonts w:hint="eastAsia" w:ascii="仿宋_GB2312" w:hAnsi="仿宋_GB2312" w:eastAsia="仿宋_GB2312" w:cs="仿宋_GB2312"/>
        </w:rPr>
        <w:t>年预算绩效评价工作虽取得了一定的成绩，但仍存在对预算绩效管理重视不足；资金使用部门对支出结果关注不够；绩效评价形式重于实质；绩效管理、绩效评价经验不足；预算管理人员专业素质不高等问题。</w:t>
      </w:r>
    </w:p>
    <w:p>
      <w:pPr>
        <w:keepNext w:val="0"/>
        <w:keepLines w:val="0"/>
        <w:pageBreakBefore w:val="0"/>
        <w:widowControl w:val="0"/>
        <w:kinsoku/>
        <w:wordWrap/>
        <w:overflowPunct/>
        <w:topLinePunct/>
        <w:autoSpaceDE/>
        <w:autoSpaceDN/>
        <w:bidi w:val="0"/>
        <w:adjustRightInd/>
        <w:spacing w:line="560" w:lineRule="exact"/>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topLinePunct/>
        <w:autoSpaceDE/>
        <w:autoSpaceDN/>
        <w:bidi w:val="0"/>
        <w:adjustRightInd/>
        <w:spacing w:line="560" w:lineRule="exact"/>
        <w:ind w:firstLine="594" w:firstLineChars="200"/>
        <w:textAlignment w:val="auto"/>
        <w:rPr>
          <w:rFonts w:hint="eastAsia" w:ascii="仿宋_GB2312" w:hAnsi="仿宋_GB2312" w:eastAsia="仿宋_GB2312" w:cs="仿宋_GB2312"/>
        </w:rPr>
      </w:pPr>
      <w:r>
        <w:rPr>
          <w:rFonts w:hint="eastAsia" w:ascii="仿宋" w:hAnsi="仿宋" w:eastAsia="仿宋" w:cs="仿宋"/>
          <w:b/>
          <w:bCs/>
        </w:rPr>
        <w:t>一是强化绩效理念，重视绩效管理。</w:t>
      </w:r>
      <w:r>
        <w:rPr>
          <w:rFonts w:hint="eastAsia" w:ascii="仿宋_GB2312" w:hAnsi="仿宋_GB2312" w:eastAsia="仿宋_GB2312" w:cs="仿宋_GB2312"/>
        </w:rPr>
        <w:t>打破“重投入、轻产出”，“重分配、轻管理”，“重数量、轻质量”的粗放式发展方式和管理模式，牢固树立绩效管理观念，把绩效管理贯穿预算编制、执行和监督的始终。</w:t>
      </w:r>
      <w:r>
        <w:rPr>
          <w:rFonts w:hint="eastAsia" w:ascii="仿宋" w:hAnsi="仿宋" w:eastAsia="仿宋" w:cs="仿宋"/>
          <w:b/>
          <w:bCs/>
        </w:rPr>
        <w:t>二是科学编制预算，明确量化指标。</w:t>
      </w:r>
      <w:r>
        <w:rPr>
          <w:rFonts w:hint="eastAsia" w:ascii="仿宋_GB2312" w:hAnsi="仿宋_GB2312" w:eastAsia="仿宋_GB2312" w:cs="仿宋_GB2312"/>
        </w:rPr>
        <w:t>细化预算指标，科学合理编制部门预算，推进预算编制科学化、准确化，为绩效评价提供明确的数量指标、质量指标、失效指标、成本指标。</w:t>
      </w:r>
      <w:r>
        <w:rPr>
          <w:rFonts w:hint="eastAsia" w:ascii="仿宋" w:hAnsi="仿宋" w:eastAsia="仿宋" w:cs="仿宋"/>
          <w:b/>
          <w:bCs/>
        </w:rPr>
        <w:t>三是探索引入第三方参与。</w:t>
      </w:r>
      <w:r>
        <w:rPr>
          <w:rFonts w:hint="eastAsia" w:ascii="仿宋_GB2312" w:hAnsi="仿宋_GB2312" w:eastAsia="仿宋_GB2312" w:cs="仿宋_GB2312"/>
        </w:rPr>
        <w:t>积极探索，请财政、审计、会计事务所等第三方参与，针对部门情况，研究制定更为完善、科学的评价体系。</w:t>
      </w:r>
    </w:p>
    <w:p>
      <w:pPr>
        <w:topLinePunct/>
        <w:spacing w:line="560" w:lineRule="exact"/>
        <w:ind w:firstLine="594" w:firstLineChars="200"/>
        <w:rPr>
          <w:rFonts w:hint="eastAsia" w:ascii="仿宋_GB2312" w:hAnsi="仿宋_GB2312" w:eastAsia="仿宋_GB2312" w:cs="仿宋_GB2312"/>
        </w:rPr>
      </w:pP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44151"/>
    <w:multiLevelType w:val="singleLevel"/>
    <w:tmpl w:val="E4D44151"/>
    <w:lvl w:ilvl="0" w:tentative="0">
      <w:start w:val="2"/>
      <w:numFmt w:val="chineseCounting"/>
      <w:suff w:val="nothing"/>
      <w:lvlText w:val="（%1）"/>
      <w:lvlJc w:val="left"/>
      <w:rPr>
        <w:rFonts w:hint="eastAsia"/>
      </w:rPr>
    </w:lvl>
  </w:abstractNum>
  <w:abstractNum w:abstractNumId="1">
    <w:nsid w:val="0C81300B"/>
    <w:multiLevelType w:val="singleLevel"/>
    <w:tmpl w:val="0C81300B"/>
    <w:lvl w:ilvl="0" w:tentative="0">
      <w:start w:val="3"/>
      <w:numFmt w:val="chineseCounting"/>
      <w:suff w:val="nothing"/>
      <w:lvlText w:val="%1、"/>
      <w:lvlJc w:val="left"/>
      <w:rPr>
        <w:rFonts w:hint="eastAsia"/>
      </w:rPr>
    </w:lvl>
  </w:abstractNum>
  <w:abstractNum w:abstractNumId="2">
    <w:nsid w:val="40C91DCA"/>
    <w:multiLevelType w:val="multilevel"/>
    <w:tmpl w:val="40C91DCA"/>
    <w:lvl w:ilvl="0" w:tentative="0">
      <w:start w:val="2"/>
      <w:numFmt w:val="decimal"/>
      <w:suff w:val="nothing"/>
      <w:lvlText w:val="（%1）"/>
      <w:lvlJc w:val="left"/>
      <w:pPr>
        <w:ind w:left="891" w:firstLine="0"/>
      </w:pPr>
      <w:rPr>
        <w:rFonts w:hint="default" w:ascii="Times New Roman" w:hAnsi="Times New Roman" w:cs="Times New Roman"/>
      </w:rPr>
    </w:lvl>
    <w:lvl w:ilvl="1" w:tentative="0">
      <w:start w:val="1"/>
      <w:numFmt w:val="decimal"/>
      <w:lvlText w:val="%2."/>
      <w:lvlJc w:val="left"/>
      <w:pPr>
        <w:tabs>
          <w:tab w:val="left" w:pos="2189"/>
        </w:tabs>
        <w:ind w:left="2189" w:hanging="360"/>
      </w:pPr>
    </w:lvl>
    <w:lvl w:ilvl="2" w:tentative="0">
      <w:start w:val="1"/>
      <w:numFmt w:val="decimal"/>
      <w:lvlText w:val="%3."/>
      <w:lvlJc w:val="left"/>
      <w:pPr>
        <w:tabs>
          <w:tab w:val="left" w:pos="2909"/>
        </w:tabs>
        <w:ind w:left="2909" w:hanging="360"/>
      </w:pPr>
    </w:lvl>
    <w:lvl w:ilvl="3" w:tentative="0">
      <w:start w:val="1"/>
      <w:numFmt w:val="decimal"/>
      <w:lvlText w:val="%4."/>
      <w:lvlJc w:val="left"/>
      <w:pPr>
        <w:tabs>
          <w:tab w:val="left" w:pos="3629"/>
        </w:tabs>
        <w:ind w:left="3629" w:hanging="360"/>
      </w:pPr>
    </w:lvl>
    <w:lvl w:ilvl="4" w:tentative="0">
      <w:start w:val="1"/>
      <w:numFmt w:val="decimal"/>
      <w:lvlText w:val="%5."/>
      <w:lvlJc w:val="left"/>
      <w:pPr>
        <w:tabs>
          <w:tab w:val="left" w:pos="4349"/>
        </w:tabs>
        <w:ind w:left="4349" w:hanging="360"/>
      </w:pPr>
    </w:lvl>
    <w:lvl w:ilvl="5" w:tentative="0">
      <w:start w:val="1"/>
      <w:numFmt w:val="decimal"/>
      <w:lvlText w:val="%6."/>
      <w:lvlJc w:val="left"/>
      <w:pPr>
        <w:tabs>
          <w:tab w:val="left" w:pos="5069"/>
        </w:tabs>
        <w:ind w:left="5069" w:hanging="360"/>
      </w:pPr>
    </w:lvl>
    <w:lvl w:ilvl="6" w:tentative="0">
      <w:start w:val="1"/>
      <w:numFmt w:val="decimal"/>
      <w:lvlText w:val="%7."/>
      <w:lvlJc w:val="left"/>
      <w:pPr>
        <w:tabs>
          <w:tab w:val="left" w:pos="5789"/>
        </w:tabs>
        <w:ind w:left="5789" w:hanging="360"/>
      </w:pPr>
    </w:lvl>
    <w:lvl w:ilvl="7" w:tentative="0">
      <w:start w:val="1"/>
      <w:numFmt w:val="decimal"/>
      <w:lvlText w:val="%8."/>
      <w:lvlJc w:val="left"/>
      <w:pPr>
        <w:tabs>
          <w:tab w:val="left" w:pos="6509"/>
        </w:tabs>
        <w:ind w:left="6509" w:hanging="360"/>
      </w:pPr>
    </w:lvl>
    <w:lvl w:ilvl="8" w:tentative="0">
      <w:start w:val="1"/>
      <w:numFmt w:val="decimal"/>
      <w:lvlText w:val="%9."/>
      <w:lvlJc w:val="left"/>
      <w:pPr>
        <w:tabs>
          <w:tab w:val="left" w:pos="7229"/>
        </w:tabs>
        <w:ind w:left="7229" w:hanging="360"/>
      </w:pPr>
    </w:lvl>
  </w:abstractNum>
  <w:num w:numId="1">
    <w:abstractNumId w:val="1"/>
  </w:num>
  <w:num w:numId="2">
    <w:abstractNumId w:val="0"/>
  </w:num>
  <w:num w:numId="3">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MGRlM2VlYjMzN2VlOGRjMThlOWU1NmE4N2Y3YjEifQ=="/>
  </w:docVars>
  <w:rsids>
    <w:rsidRoot w:val="00000000"/>
    <w:rsid w:val="05AE36CA"/>
    <w:rsid w:val="06C70FE1"/>
    <w:rsid w:val="0B6A50C5"/>
    <w:rsid w:val="12EA3730"/>
    <w:rsid w:val="1D150099"/>
    <w:rsid w:val="378A5996"/>
    <w:rsid w:val="5A3C6978"/>
    <w:rsid w:val="5B3066BD"/>
    <w:rsid w:val="608C1862"/>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嘿，从容一些</cp:lastModifiedBy>
  <dcterms:modified xsi:type="dcterms:W3CDTF">2023-10-09T02:07:44Z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9DBE900F16AE42AC80E94D73A3361E85_12</vt:lpwstr>
  </property>
</Properties>
</file>