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人均科普经费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numPr>
          <w:ilvl w:val="0"/>
          <w:numId w:val="0"/>
        </w:numPr>
        <w:spacing w:line="560" w:lineRule="atLeast"/>
        <w:ind w:firstLine="594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人均科普经费用于科技进机关、进基层、进企业、进社区科普活动。举办科技周活动、科普日、科技三下乡、反邪教、青少年科技创新大赛等大型宣传活动；科普宣传资料印发；科普咨询、评估、企业科普工作调研、讲坛；科技培训，学会、协会及农村新型合作社扶持；农函大培训工作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Cs w:val="32"/>
        </w:rPr>
        <w:t>进社区，进机关、进基层科普宣传、</w:t>
      </w:r>
      <w:r>
        <w:rPr>
          <w:rFonts w:hint="eastAsia" w:ascii="仿宋" w:hAnsi="仿宋" w:eastAsia="仿宋" w:cs="仿宋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Cs w:val="32"/>
        </w:rPr>
        <w:t>科普培训活动，服务群众营造呈贡区讲科学、爱科学、学科学、用科学良好社会氛围，</w:t>
      </w:r>
      <w:r>
        <w:rPr>
          <w:rFonts w:hint="eastAsia" w:ascii="仿宋" w:hAnsi="仿宋" w:eastAsia="仿宋" w:cs="仿宋"/>
          <w:szCs w:val="32"/>
          <w:lang w:eastAsia="zh-CN"/>
        </w:rPr>
        <w:t>同时实现城镇居民技能转型、素质就业。</w:t>
      </w:r>
      <w:r>
        <w:rPr>
          <w:rFonts w:hint="eastAsia" w:ascii="仿宋" w:hAnsi="仿宋" w:eastAsia="仿宋" w:cs="仿宋"/>
          <w:szCs w:val="32"/>
        </w:rPr>
        <w:t>20</w:t>
      </w:r>
      <w:r>
        <w:rPr>
          <w:rFonts w:hint="eastAsia" w:ascii="仿宋" w:hAnsi="仿宋" w:eastAsia="仿宋" w:cs="仿宋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lang w:eastAsia="zh-CN"/>
        </w:rPr>
        <w:t>人均科普经费</w:t>
      </w:r>
      <w:r>
        <w:rPr>
          <w:rFonts w:hint="eastAsia" w:ascii="仿宋" w:hAnsi="仿宋" w:eastAsia="仿宋" w:cs="仿宋"/>
          <w:szCs w:val="32"/>
        </w:rPr>
        <w:t>支出</w:t>
      </w:r>
      <w:r>
        <w:rPr>
          <w:rFonts w:hint="eastAsia" w:ascii="仿宋" w:hAnsi="仿宋" w:eastAsia="仿宋" w:cs="仿宋"/>
          <w:szCs w:val="32"/>
          <w:lang w:val="en-US" w:eastAsia="zh-CN"/>
        </w:rPr>
        <w:t>119.02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spacing w:line="560" w:lineRule="atLeast"/>
        <w:ind w:firstLine="594" w:firstLineChars="200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2022年呈贡区</w:t>
      </w:r>
      <w:r>
        <w:rPr>
          <w:rFonts w:hint="eastAsia" w:ascii="仿宋" w:hAnsi="仿宋" w:eastAsia="仿宋" w:cs="仿宋"/>
          <w:szCs w:val="32"/>
          <w:lang w:eastAsia="zh-CN"/>
        </w:rPr>
        <w:t>科学技术协会年初预算</w:t>
      </w: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" w:hAnsi="仿宋" w:eastAsia="仿宋" w:cs="仿宋"/>
          <w:szCs w:val="32"/>
          <w:lang w:val="en-US" w:eastAsia="zh-CN"/>
        </w:rPr>
        <w:t>119.02</w:t>
      </w:r>
      <w:r>
        <w:rPr>
          <w:rFonts w:hint="eastAsia" w:ascii="仿宋_GB2312" w:hAnsi="仿宋_GB2312" w:cs="仿宋_GB2312"/>
          <w:szCs w:val="32"/>
          <w:lang w:val="en-US" w:eastAsia="zh-CN"/>
        </w:rPr>
        <w:t>万，</w:t>
      </w:r>
      <w:r>
        <w:rPr>
          <w:rFonts w:hint="eastAsia" w:ascii="仿宋_GB2312" w:hAnsi="仿宋_GB2312" w:eastAsia="仿宋_GB2312" w:cs="仿宋_GB2312"/>
          <w:szCs w:val="32"/>
        </w:rPr>
        <w:t>政府性基金</w:t>
      </w:r>
      <w:r>
        <w:rPr>
          <w:rFonts w:hint="eastAsia" w:ascii="仿宋_GB2312" w:hAnsi="仿宋_GB2312" w:cs="仿宋_GB231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Cs w:val="32"/>
        </w:rPr>
        <w:t>财政专户资金</w:t>
      </w:r>
      <w:r>
        <w:rPr>
          <w:rFonts w:hint="eastAsia" w:ascii="仿宋_GB2312" w:hAnsi="仿宋_GB2312" w:cs="仿宋_GB231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Cs w:val="32"/>
        </w:rPr>
        <w:t>自筹资金</w:t>
      </w:r>
      <w:r>
        <w:rPr>
          <w:rFonts w:hint="eastAsia" w:ascii="仿宋_GB2312" w:hAnsi="仿宋_GB2312" w:cs="仿宋_GB2312"/>
          <w:szCs w:val="32"/>
          <w:lang w:val="en-US" w:eastAsia="zh-CN"/>
        </w:rPr>
        <w:t>0万元。</w:t>
      </w:r>
      <w:r>
        <w:rPr>
          <w:rFonts w:hint="eastAsia" w:ascii="仿宋" w:hAnsi="仿宋" w:eastAsia="仿宋" w:cs="仿宋"/>
          <w:szCs w:val="32"/>
        </w:rPr>
        <w:t>在资金使用方面严格按照《昆明市呈贡区财政局关于下达20</w:t>
      </w:r>
      <w:r>
        <w:rPr>
          <w:rFonts w:hint="eastAsia" w:ascii="仿宋" w:hAnsi="仿宋" w:eastAsia="仿宋" w:cs="仿宋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Cs w:val="32"/>
        </w:rPr>
        <w:t>年部门预算批复的通知》（呈财预〔20</w:t>
      </w:r>
      <w:r>
        <w:rPr>
          <w:rFonts w:hint="eastAsia" w:ascii="仿宋" w:hAnsi="仿宋" w:eastAsia="仿宋" w:cs="仿宋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Cs w:val="32"/>
        </w:rPr>
        <w:t>〕</w:t>
      </w:r>
      <w:r>
        <w:rPr>
          <w:rFonts w:hint="eastAsia" w:ascii="仿宋" w:hAnsi="仿宋" w:eastAsia="仿宋" w:cs="仿宋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szCs w:val="32"/>
        </w:rPr>
        <w:t>号）执行，做到专款专用。项目经费严格按照单位的财务制度和预算支出范围使用，按照项目计划安排和实际工作情况开支，做到专款专用，经费严格按照呈贡区财政局印发有关文件、通知精神执行。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spacing w:line="560" w:lineRule="atLeast"/>
        <w:ind w:firstLine="594" w:firstLineChars="200"/>
        <w:rPr>
          <w:rFonts w:ascii="仿宋_GB2312"/>
          <w:szCs w:val="32"/>
        </w:rPr>
      </w:pPr>
      <w:r>
        <w:rPr>
          <w:rFonts w:hint="eastAsia" w:ascii="仿宋" w:hAnsi="仿宋" w:eastAsia="仿宋" w:cs="仿宋"/>
          <w:szCs w:val="32"/>
        </w:rPr>
        <w:t>单位组成了以</w:t>
      </w:r>
      <w:r>
        <w:rPr>
          <w:rFonts w:hint="eastAsia" w:ascii="仿宋" w:hAnsi="仿宋" w:eastAsia="仿宋" w:cs="仿宋"/>
          <w:szCs w:val="32"/>
          <w:lang w:eastAsia="zh-CN"/>
        </w:rPr>
        <w:t>梁学伟</w:t>
      </w:r>
      <w:r>
        <w:rPr>
          <w:rFonts w:hint="eastAsia" w:ascii="仿宋" w:hAnsi="仿宋" w:eastAsia="仿宋" w:cs="仿宋"/>
          <w:szCs w:val="32"/>
        </w:rPr>
        <w:t>同志为组长的工作领导小组，项目采取工作领导小组负责制，全体成员积极配合，通力合作，项目工作领导小组负责协调相关工作、项目实施及资金管理。对于项目资金，按照投资计划，制定相应的管理制度，实行“专款专用、专人管理”，并指派专人对项目的实施进行定期或不定期的现场检查和监督，及时协调解决困难和问题，保证项目的正常、高效开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spacing w:line="560" w:lineRule="atLeast"/>
        <w:ind w:firstLine="594" w:firstLineChars="200"/>
        <w:outlineLvl w:val="0"/>
        <w:rPr>
          <w:rFonts w:ascii="楷体" w:hAnsi="楷体" w:eastAsia="楷体" w:cs="仿宋"/>
          <w:szCs w:val="32"/>
        </w:rPr>
      </w:pPr>
      <w:r>
        <w:rPr>
          <w:rFonts w:hint="eastAsia" w:ascii="楷体" w:hAnsi="楷体" w:eastAsia="楷体" w:cs="仿宋"/>
          <w:szCs w:val="32"/>
        </w:rPr>
        <w:t>（一）经济性分析</w:t>
      </w:r>
    </w:p>
    <w:p>
      <w:pPr>
        <w:spacing w:line="560" w:lineRule="atLeast"/>
        <w:ind w:firstLine="594" w:firstLineChars="200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1.项目成本（预算）控制情况。所有资金使用严格按照有关财务制度执行，并经财务部严格审核使用。完成了本单位财政项目支出</w:t>
      </w:r>
      <w:r>
        <w:rPr>
          <w:rFonts w:hint="eastAsia" w:ascii="仿宋" w:hAnsi="仿宋" w:eastAsia="仿宋" w:cs="仿宋"/>
          <w:szCs w:val="32"/>
          <w:lang w:val="en-US" w:eastAsia="zh-CN"/>
        </w:rPr>
        <w:t>119.02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spacing w:line="560" w:lineRule="atLeast"/>
        <w:ind w:firstLine="594" w:firstLineChars="200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2.项目成本（预算）节约情况。项目支出过程中均按照厉行节约原则完成。</w:t>
      </w:r>
    </w:p>
    <w:p>
      <w:pPr>
        <w:spacing w:line="560" w:lineRule="atLeast"/>
        <w:ind w:firstLine="594" w:firstLineChars="200"/>
        <w:outlineLvl w:val="0"/>
        <w:rPr>
          <w:rFonts w:ascii="楷体" w:hAnsi="楷体" w:eastAsia="楷体" w:cs="仿宋"/>
          <w:szCs w:val="32"/>
        </w:rPr>
      </w:pPr>
      <w:r>
        <w:rPr>
          <w:rFonts w:hint="eastAsia" w:ascii="楷体" w:hAnsi="楷体" w:eastAsia="楷体" w:cs="仿宋"/>
          <w:szCs w:val="32"/>
        </w:rPr>
        <w:t>（二）效率性分析</w:t>
      </w:r>
    </w:p>
    <w:p>
      <w:pPr>
        <w:spacing w:line="560" w:lineRule="atLeast"/>
        <w:ind w:firstLine="594" w:firstLineChars="200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1.项目的实施进度。按照上级下达的目标任务要求，按照规定的时间节点完成相关工作。</w:t>
      </w:r>
    </w:p>
    <w:p>
      <w:pPr>
        <w:spacing w:line="560" w:lineRule="atLeast"/>
        <w:ind w:firstLine="594" w:firstLineChars="200"/>
        <w:outlineLvl w:val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2.项目完成质量。在区委领导的高度重视下和区财政局的大力支持下，经过各单位人员的共同努力，按时按质完成实施进度。</w:t>
      </w:r>
    </w:p>
    <w:p>
      <w:pPr>
        <w:spacing w:line="560" w:lineRule="atLeast"/>
        <w:ind w:firstLine="594" w:firstLineChars="200"/>
        <w:outlineLvl w:val="0"/>
        <w:rPr>
          <w:rFonts w:ascii="楷体" w:hAnsi="楷体" w:eastAsia="楷体" w:cs="仿宋"/>
          <w:szCs w:val="32"/>
        </w:rPr>
      </w:pPr>
      <w:r>
        <w:rPr>
          <w:rFonts w:hint="eastAsia" w:ascii="楷体" w:hAnsi="楷体" w:eastAsia="楷体" w:cs="仿宋"/>
          <w:szCs w:val="32"/>
        </w:rPr>
        <w:t>（三）有效性分析</w:t>
      </w:r>
    </w:p>
    <w:p>
      <w:pPr>
        <w:spacing w:line="560" w:lineRule="atLeast"/>
        <w:outlineLvl w:val="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  </w:t>
      </w:r>
      <w:r>
        <w:rPr>
          <w:rFonts w:hint="eastAsia" w:ascii="仿宋" w:hAnsi="仿宋" w:eastAsia="仿宋" w:cs="仿宋"/>
          <w:szCs w:val="32"/>
        </w:rPr>
        <w:t>有关项目资金的使用均严格按照有关财务制度执行，按时、按质、按量完成项目相关工作。</w:t>
      </w:r>
    </w:p>
    <w:p>
      <w:pPr>
        <w:spacing w:line="560" w:lineRule="atLeast"/>
        <w:ind w:firstLine="582" w:firstLineChars="196"/>
        <w:outlineLvl w:val="0"/>
        <w:rPr>
          <w:rFonts w:ascii="楷体" w:hAnsi="楷体" w:eastAsia="楷体" w:cs="仿宋"/>
          <w:szCs w:val="32"/>
        </w:rPr>
      </w:pPr>
      <w:r>
        <w:rPr>
          <w:rFonts w:hint="eastAsia" w:ascii="楷体" w:hAnsi="楷体" w:eastAsia="楷体" w:cs="仿宋"/>
          <w:szCs w:val="32"/>
        </w:rPr>
        <w:t>（四）可持续性分析</w:t>
      </w:r>
    </w:p>
    <w:p>
      <w:pPr>
        <w:topLinePunct/>
        <w:ind w:firstLine="594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通过宣传科普知识，提高人民对自然生态、社会生态的认知，保护生态环境</w:t>
      </w:r>
      <w:r>
        <w:rPr>
          <w:rFonts w:hint="eastAsia" w:ascii="仿宋" w:hAnsi="仿宋" w:eastAsia="仿宋" w:cs="仿宋"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</w:rPr>
        <w:t>让社区群众提高民众的科技知识。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人均科普经费</w:t>
      </w:r>
      <w:r>
        <w:rPr>
          <w:rFonts w:hint="eastAsia" w:ascii="仿宋_GB2312"/>
          <w:szCs w:val="32"/>
        </w:rPr>
        <w:t>专项立项依据充分；制定了资金管理办法。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（二）资金分配方面的问题。资金分配合理，突出重点，公平公正；无散小差现象；资金分配和使用方向是否与资金管理办法相符。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（三）资金拨付方面的问题。拨付及时，无滞留、闲置等现象。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（四）资金使用方面的问题。资金使用合规，无截留、挪用等现象。</w:t>
      </w:r>
    </w:p>
    <w:p>
      <w:pPr>
        <w:spacing w:line="560" w:lineRule="atLeast"/>
        <w:ind w:firstLine="594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本单位的财政项目从经济角度、可持续发展角度而言，整体发挥的经济效益、生态效益、社会效益很明显，一定程度上带动了呈贡区的政务服务，经绩效评价工作小组综合分析，项目平均分为</w:t>
      </w:r>
      <w:r>
        <w:rPr>
          <w:rFonts w:hint="eastAsia" w:ascii="仿宋" w:hAnsi="仿宋" w:eastAsia="仿宋" w:cs="仿宋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szCs w:val="32"/>
        </w:rPr>
        <w:t>分。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spacing w:line="560" w:lineRule="atLeast"/>
        <w:ind w:firstLine="594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由于绩效自评是一项开展不久的工作任务，项目支出运行实践经验还欠缺，我单位相关人员配备明显不足，相关制度建设还有待进一步加强。</w:t>
      </w:r>
    </w:p>
    <w:p>
      <w:pPr>
        <w:spacing w:line="560" w:lineRule="atLeast"/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" w:hAnsi="仿宋" w:eastAsia="仿宋" w:cs="仿宋"/>
          <w:szCs w:val="32"/>
        </w:rPr>
        <w:t>现在的项目指标面临各种因素的影响，在编制预算与执行中，管委会将尽可能地用有限的经费平衡每年工作任务，尽量做到科学、合理的分配。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spacing w:line="560" w:lineRule="exact"/>
        <w:ind w:firstLine="594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加强单位内控制度建设，完善相关内部管理制度。按财政局要求开展内部控制建设工作，通过查找内部管理中的薄弱环节提出《内部控制缺陷清单》；通过清理制度完善各项《内部控制制度》。</w:t>
      </w:r>
    </w:p>
    <w:p/>
    <w:p/>
    <w:p/>
    <w:p>
      <w:pPr>
        <w:spacing w:line="560" w:lineRule="exact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Cs w:val="32"/>
        </w:rPr>
        <w:t>昆明</w:t>
      </w:r>
      <w:r>
        <w:rPr>
          <w:rFonts w:hint="eastAsia" w:ascii="仿宋" w:hAnsi="仿宋" w:eastAsia="仿宋" w:cs="仿宋"/>
          <w:szCs w:val="32"/>
          <w:lang w:eastAsia="zh-CN"/>
        </w:rPr>
        <w:t>市</w:t>
      </w:r>
      <w:r>
        <w:rPr>
          <w:rFonts w:hint="eastAsia" w:ascii="仿宋" w:hAnsi="仿宋" w:eastAsia="仿宋" w:cs="仿宋"/>
          <w:szCs w:val="32"/>
        </w:rPr>
        <w:t>呈贡区</w:t>
      </w:r>
      <w:r>
        <w:rPr>
          <w:rFonts w:hint="eastAsia" w:ascii="仿宋" w:hAnsi="仿宋" w:eastAsia="仿宋" w:cs="仿宋"/>
          <w:szCs w:val="32"/>
          <w:lang w:eastAsia="zh-CN"/>
        </w:rPr>
        <w:t>科学技术协会</w:t>
      </w:r>
    </w:p>
    <w:p>
      <w:pPr>
        <w:spacing w:line="560" w:lineRule="exact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Cs w:val="32"/>
        </w:rPr>
        <w:t>日</w:t>
      </w:r>
      <w:r>
        <w:rPr>
          <w:rFonts w:ascii="仿宋" w:hAnsi="仿宋" w:eastAsia="仿宋" w:cs="仿宋"/>
          <w:szCs w:val="32"/>
        </w:rPr>
        <w:t xml:space="preserve"> 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5ED4F"/>
    <w:multiLevelType w:val="singleLevel"/>
    <w:tmpl w:val="6EF5ED4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WYwOTg4ZGZjOWFkNDYyYmQ3MTMwYWFhOGE2NzYifQ=="/>
  </w:docVars>
  <w:rsids>
    <w:rsidRoot w:val="00000000"/>
    <w:rsid w:val="05AE36CA"/>
    <w:rsid w:val="378A5996"/>
    <w:rsid w:val="4A116F60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715</Characters>
  <Lines>0</Lines>
  <Paragraphs>0</Paragraphs>
  <TotalTime>0</TotalTime>
  <ScaleCrop>false</ScaleCrop>
  <LinksUpToDate>false</LinksUpToDate>
  <CharactersWithSpaces>715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Juan娟</cp:lastModifiedBy>
  <dcterms:modified xsi:type="dcterms:W3CDTF">2023-04-18T06:58:58Z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2DD86C089A13445BA9A3C55052907412_12</vt:lpwstr>
  </property>
</Properties>
</file>