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呈贡区行政事业单位代理记账经费绩效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评价报告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topLinePunct/>
        <w:spacing w:line="520" w:lineRule="exact"/>
        <w:ind w:left="72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（一）项目概况</w:t>
      </w:r>
    </w:p>
    <w:p>
      <w:pPr>
        <w:spacing w:line="520" w:lineRule="exact"/>
        <w:ind w:firstLine="6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按照《昆明市呈贡区人民政府办公室关于印发&lt;呈贡区行政事业单位委托区属国有公司代理记账实施方案&gt;的通知》（呈政办发〔2018〕157 号）文件精神，区城投集团出资成立昆明政务管家财务有限公司，承接全区行政事业单位代理记账工作，向区财政局申报行政事业单位代理记账预算经费。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2022年6月28日拨付呈贡区行政事业单位代理记账经费3,434,000.00元，该笔资金全部用于支付人工薪酬等日常管理支出。</w:t>
      </w:r>
    </w:p>
    <w:p>
      <w:pPr>
        <w:topLinePunct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）绩效目标设定及指标完成情况</w:t>
      </w:r>
    </w:p>
    <w:p>
      <w:pPr>
        <w:topLinePunct/>
        <w:spacing w:line="560" w:lineRule="exact"/>
        <w:ind w:firstLine="6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根据《关于批复202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年部门预算的通知》（呈财行〔202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按照预算批复及项目执行进度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合理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合法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合规地使用财政资金，实现社会效益最大化，社会满意度最大化。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项目资金的使用符合相关财务管理制度和规定，会计核算健全规范，做到专款专用。</w:t>
      </w:r>
    </w:p>
    <w:p>
      <w:pPr>
        <w:spacing w:line="520" w:lineRule="exact"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项目按绩效目标正常开展，达到良好的政治、经济效益。项目自评评分99分。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二、项目资金使用及管理情况</w:t>
      </w:r>
    </w:p>
    <w:p>
      <w:pPr>
        <w:spacing w:line="520" w:lineRule="exact"/>
        <w:ind w:firstLine="620" w:firstLineChars="20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2022年度预算绩效管理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</w:rPr>
        <w:t>目资金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eastAsia="zh-CN"/>
        </w:rPr>
        <w:t>年初预算安排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788.4万元，调减445万元，调整预算数343.4万元，到位率100%，实际使用资金434.4万元，执行率100%。</w:t>
      </w:r>
    </w:p>
    <w:p>
      <w:pPr>
        <w:spacing w:line="520" w:lineRule="exact"/>
        <w:ind w:firstLine="620" w:firstLineChars="20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项目资金的使用符合相关财务管理制度和规定，会计核算健全规范，做到了专款专用。</w:t>
      </w:r>
    </w:p>
    <w:p>
      <w:pPr>
        <w:pStyle w:val="8"/>
        <w:topLinePunct/>
        <w:spacing w:line="520" w:lineRule="exact"/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三、项目组织实施情况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区属国有公司集中核算服务费，2022年各行政事业单位的账务处理及相关决算等工作已经完成，政务管家统一为呈贡区各行政事业单位代理记账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规范统一了呈贡区各行政事业单位的账务处理及决算工作。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四、项目绩效情况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1.项目经济性分析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面对严峻的经济形势和税收下降压力，区国资局厉行节俭，牢固树立“过紧日子”思想，进一步压缩财政支出，减少不必要的支出，将有限的财政资金用于各类刚需项目支出，坚决杜绝资金的留滞和浪费。严格按照预算安排及工作进度进行计划申请，提高预算执行的科学性、合理性，及时根据单位实际情况和人员情况，提高财政管理的科学化和精细化水平，预算项目绩效经济性较好。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2.项目的效率性分析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2022年，我局财政预算工作顺利开展，严格按照财政部门相关工作要求，按时按质完成预决算公开，2023年预算编制，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完成预算绩效目标评价工作并形成评价报告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结合评价报告进行了反馈、督促整改及信息公开等工作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。在预算执行方面，严格按照财政部门的要求，及时追加或调减各项预算指标，及时支付相关财政资金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因此，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2022年我局项目绩效的效率性较好。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3.项目的效益性分析</w:t>
      </w:r>
    </w:p>
    <w:p>
      <w:pPr>
        <w:widowControl/>
        <w:spacing w:line="520" w:lineRule="exact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eastAsia="zh-CN"/>
        </w:rPr>
        <w:t>委托区城投集团进行代理记账工作，能够提高全区行政事业单位账务的科学性、准确性和一致性，确保财务数据的真实准确性，提高相关效益。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4.项目可持续性分析</w:t>
      </w:r>
    </w:p>
    <w:p>
      <w:pPr>
        <w:topLinePunct/>
        <w:ind w:firstLine="620" w:firstLineChars="200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财务工作具有可持续性的特征，涉及到各项工作的全面连续性，因此委托城投集团进行代理记账具有较强的可持续性特征。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严格按照年初预算批复事项，扎实开展各项工作，严格按照时序支付资金，提高预算执行效率和质量。扎实做好下一年预算编制工作，进一步提高预算编制的全面性、科学性、准确性。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（二）主要经验做法、改进措施和有关建议等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预算的合理性是行政事业单位内部控制的精髓，应重视部门预算，增强预算控制，充分发挥预算控制在内部控制中的作用。建议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topLinePunct/>
        <w:spacing w:line="520" w:lineRule="exact"/>
        <w:ind w:firstLine="3040" w:firstLineChars="9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spacing w:line="520" w:lineRule="exact"/>
        <w:ind w:firstLine="3040" w:firstLineChars="9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spacing w:line="520" w:lineRule="exact"/>
        <w:ind w:firstLine="3040" w:firstLineChars="9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昆明市呈贡区国有资产监督管理局</w:t>
      </w:r>
    </w:p>
    <w:p>
      <w:pPr>
        <w:topLinePunct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2023年4月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987"/>
    <w:rsid w:val="000A6B64"/>
    <w:rsid w:val="000C339B"/>
    <w:rsid w:val="001051CD"/>
    <w:rsid w:val="00106E15"/>
    <w:rsid w:val="00182E2C"/>
    <w:rsid w:val="001E1FD1"/>
    <w:rsid w:val="002119F4"/>
    <w:rsid w:val="002A5D61"/>
    <w:rsid w:val="00345020"/>
    <w:rsid w:val="00402563"/>
    <w:rsid w:val="0040260C"/>
    <w:rsid w:val="004A61F9"/>
    <w:rsid w:val="004B7C06"/>
    <w:rsid w:val="005148CB"/>
    <w:rsid w:val="00561A75"/>
    <w:rsid w:val="00612A64"/>
    <w:rsid w:val="00651987"/>
    <w:rsid w:val="006A7696"/>
    <w:rsid w:val="007A1169"/>
    <w:rsid w:val="007B6F5D"/>
    <w:rsid w:val="00881076"/>
    <w:rsid w:val="008B17CD"/>
    <w:rsid w:val="00920D98"/>
    <w:rsid w:val="0094267B"/>
    <w:rsid w:val="009D4DDB"/>
    <w:rsid w:val="00AC6027"/>
    <w:rsid w:val="00B87784"/>
    <w:rsid w:val="00B95C25"/>
    <w:rsid w:val="00BC67C3"/>
    <w:rsid w:val="00C16E97"/>
    <w:rsid w:val="00C42ACB"/>
    <w:rsid w:val="00C60229"/>
    <w:rsid w:val="00C621A7"/>
    <w:rsid w:val="00DC0CCC"/>
    <w:rsid w:val="00E00B7E"/>
    <w:rsid w:val="00E43C61"/>
    <w:rsid w:val="00E7210F"/>
    <w:rsid w:val="00E8033E"/>
    <w:rsid w:val="00EB75B0"/>
    <w:rsid w:val="07E76C04"/>
    <w:rsid w:val="186E0962"/>
    <w:rsid w:val="1D5A6237"/>
    <w:rsid w:val="20E06A41"/>
    <w:rsid w:val="2D8F4EFE"/>
    <w:rsid w:val="32613432"/>
    <w:rsid w:val="3CDA61D9"/>
    <w:rsid w:val="50A73FD8"/>
    <w:rsid w:val="7EBF4D23"/>
    <w:rsid w:val="7FC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2023-04-06T03:20:00Z</dcterms:created>
  <dc:creator>何颖</dc:creator>
  <cp:lastModifiedBy>Administrator</cp:lastModifiedBy>
  <dcterms:modified xsi:type="dcterms:W3CDTF">2023-04-13T06:46:45Z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