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昆明市呈贡区国有资产监督管理局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2022年200万以下</w:t>
      </w:r>
      <w:r>
        <w:rPr>
          <w:rFonts w:hint="default" w:ascii="Times New Roman" w:hAnsi="Times New Roman" w:eastAsia="方正小标宋简体" w:cs="Times New Roman"/>
          <w:sz w:val="44"/>
          <w:szCs w:val="44"/>
        </w:rPr>
        <w:t>项目支出绩效评价报告</w:t>
      </w:r>
    </w:p>
    <w:p>
      <w:pPr>
        <w:spacing w:line="560" w:lineRule="exact"/>
        <w:jc w:val="center"/>
        <w:rPr>
          <w:rFonts w:hint="default" w:ascii="Times New Roman" w:hAnsi="Times New Roman" w:eastAsia="方正小标宋简体" w:cs="Times New Roman"/>
          <w:sz w:val="44"/>
          <w:szCs w:val="44"/>
        </w:rPr>
      </w:pPr>
    </w:p>
    <w:p>
      <w:pPr>
        <w:pStyle w:val="5"/>
        <w:topLinePunct/>
        <w:spacing w:line="560" w:lineRule="exact"/>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1.昆明市呈贡区城市投资集团有限公司（以下简称“区城投集团”）注册资本金注入经费650,000.00元，2022年12月8日收到，主要用于区城投公司日常管理费的开支，如人员工资、社保、办公设备等。</w:t>
      </w:r>
    </w:p>
    <w:p>
      <w:pPr>
        <w:pStyle w:val="6"/>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cs="Times New Roman"/>
        </w:rPr>
        <w:t xml:space="preserve"> </w:t>
      </w:r>
      <w:r>
        <w:rPr>
          <w:rFonts w:hint="default" w:ascii="Times New Roman" w:hAnsi="Times New Roman" w:eastAsia="仿宋_GB2312" w:cs="Times New Roman"/>
          <w:sz w:val="32"/>
          <w:szCs w:val="32"/>
        </w:rPr>
        <w:t>深化国有企业改革完善国资监管经费30,000.00元，该笔资金用于支付昆明春都城市建设投资有限公司（以下简称“春都公司”）尽职调查报告。</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cs="Times New Roman"/>
        </w:rPr>
        <w:t xml:space="preserve"> </w:t>
      </w:r>
      <w:r>
        <w:rPr>
          <w:rFonts w:hint="default" w:ascii="Times New Roman" w:hAnsi="Times New Roman" w:eastAsia="仿宋_GB2312" w:cs="Times New Roman"/>
          <w:sz w:val="32"/>
          <w:szCs w:val="32"/>
        </w:rPr>
        <w:t>国有企业审计、专项检查经费700,000.00元，资金已支付完毕，用于区城投集团审计和专项审查工作。</w:t>
      </w:r>
    </w:p>
    <w:p>
      <w:pPr>
        <w:pStyle w:val="6"/>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4.呈贡区行政事业单位代理记账经费950,000.00元，2022年11月25日收到资金950,000.00元，该笔资金全部用于支付人工薪酬等日常管理支出。</w:t>
      </w:r>
    </w:p>
    <w:p>
      <w:pPr>
        <w:pStyle w:val="6"/>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cs="Times New Roman"/>
        </w:rPr>
        <w:t xml:space="preserve"> </w:t>
      </w:r>
      <w:r>
        <w:rPr>
          <w:rFonts w:hint="default" w:ascii="Times New Roman" w:hAnsi="Times New Roman" w:eastAsia="仿宋_GB2312" w:cs="Times New Roman"/>
          <w:sz w:val="32"/>
          <w:szCs w:val="32"/>
        </w:rPr>
        <w:t>区城投集团外部董事聘用经费72,000.00元,</w:t>
      </w:r>
    </w:p>
    <w:p>
      <w:pPr>
        <w:pStyle w:val="6"/>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cs="Times New Roman"/>
        </w:rPr>
        <w:t xml:space="preserve"> </w:t>
      </w:r>
      <w:r>
        <w:rPr>
          <w:rFonts w:hint="default" w:ascii="Times New Roman" w:hAnsi="Times New Roman" w:eastAsia="仿宋_GB2312" w:cs="Times New Roman"/>
          <w:sz w:val="32"/>
          <w:szCs w:val="32"/>
        </w:rPr>
        <w:t>呈贡区人武部党委第一书记现场办公会解决应急项目经费1,995,000.00元。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二、项目资金使用及管理情况</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根据《关于批复202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年部门预算的通知》（呈财行〔202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号）</w:t>
      </w:r>
      <w:r>
        <w:rPr>
          <w:rFonts w:hint="default" w:ascii="Times New Roman" w:hAnsi="Times New Roman" w:eastAsia="仿宋_GB2312" w:cs="Times New Roman"/>
          <w:color w:val="auto"/>
          <w:kern w:val="0"/>
          <w:sz w:val="32"/>
          <w:szCs w:val="32"/>
          <w:lang w:eastAsia="zh-CN"/>
        </w:rPr>
        <w:t>精神，</w:t>
      </w:r>
      <w:r>
        <w:rPr>
          <w:rFonts w:hint="default" w:ascii="Times New Roman" w:hAnsi="Times New Roman" w:eastAsia="仿宋_GB2312" w:cs="Times New Roman"/>
          <w:color w:val="auto"/>
          <w:kern w:val="0"/>
          <w:sz w:val="32"/>
          <w:szCs w:val="32"/>
        </w:rPr>
        <w:t>按照预算批复及项目执行进度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合理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合法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合规地使用财政资金，实现社会效益最大化，社会满意度最大化。</w:t>
      </w:r>
      <w:r>
        <w:rPr>
          <w:rFonts w:hint="default" w:ascii="Times New Roman" w:hAnsi="Times New Roman" w:eastAsia="仿宋_GB2312" w:cs="Times New Roman"/>
          <w:sz w:val="32"/>
          <w:szCs w:val="32"/>
        </w:rPr>
        <w:t>项目资金的使用符合相关财务管理制度和规定，会计核算健全规范，做到专款专用。</w:t>
      </w:r>
    </w:p>
    <w:p>
      <w:pPr>
        <w:topLinePunct/>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项目按绩效目标正常开展，达到良好的政治、经济效益。项目自评评分</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val="en-US" w:eastAsia="zh-CN"/>
        </w:rPr>
        <w:t>分。</w:t>
      </w:r>
    </w:p>
    <w:p>
      <w:pPr>
        <w:pStyle w:val="6"/>
        <w:topLinePunct/>
        <w:spacing w:line="560" w:lineRule="exact"/>
        <w:ind w:firstLine="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三、项目组织实施情况</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注册资本金65万元的注入，有力的保障了区城投公司的日常管理费用的开支，从而推动各项工作有效、有序的进行，顺利完成了区委区政府及上级单位交办的各项任务。</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春都公司尽职调查工作，收回春都公司全部股权。调整明确区城投集团和春都公司的战略发展规划和业务板块，统筹分配全区优质资源，优化调整国有资本布局，形成区城投集团和春都公司“双轮驱动、协调发展”的格局。</w:t>
      </w:r>
    </w:p>
    <w:p>
      <w:pPr>
        <w:pStyle w:val="6"/>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顺利完成2021年度区城投集团公司财务决算年报审计、昆明市呈贡区城市投资集团有限公司2021年度工资薪酬专项审计、昆明市呈贡区城市投资集团有限公司2021年度经营业绩目标考核项目完成情况专项审计和昆明市呈贡区城市投资集团有限公司2022年度重点工作审计评价项目。</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4.区属国有公司集中核算服务费，2022年各行政事业单位的账务处理及相关决算等工作已经完成，政务管家统一为呈贡区各行政事业单位代理记账规范统一了呈贡区各行政事业单位的账务处理及决算工作。</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5.根据《关于选聘连高鹏、方自维担任昆明市呈贡区城市投资有限公司外部董事的通知》（呈国资〔2017〕25号）文件精神，选聘连高鹏和方自维担任区城投集团外部董事。</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为落实好呈贡区人民武装部党委第一书记现场办公会精神，进行营区楼顶、设施加固提升及室内改造，公寓房家具配置，办公楼线路整治等。本项目于2021年5月10日开工，于2021年11月25日完成营区楼顶、设施加固提升及室内改造；2022年6月10日开工，于2022年12月30日完成公寓房家具配置，并同步交付给业主单位使用。目前，正在开展办公楼线路整治工作。</w:t>
      </w:r>
    </w:p>
    <w:p>
      <w:pPr>
        <w:topLinePunct/>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1.项目经济性分析</w:t>
      </w:r>
    </w:p>
    <w:p>
      <w:pPr>
        <w:topLinePun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面对严峻的经济形势和税收下降压力，区国资局厉行节俭，牢固树立“过紧日子”思想，进一步压缩财政支出，减少不必要的支出，将有限的财政资金用于各类刚需项目支出，坚决杜绝资金的留滞和浪费。严格按照预算安排及工作进度进行计划申请，提高预算执行的科学性、合理性，及时根据单位实际情况和人员情况，提高财政管理的科学化和精细化水平，预算项目绩效经济性较好。</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2.项目的效率性分析</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2022年，我局财政预算工作顺利开展，严格按照财政部门相关工作要求，按时按质完成预决算公开，2023年预算编制，</w:t>
      </w:r>
      <w:r>
        <w:rPr>
          <w:rFonts w:hint="default" w:ascii="Times New Roman" w:hAnsi="Times New Roman" w:eastAsia="仿宋_GB2312" w:cs="Times New Roman"/>
          <w:color w:val="000000"/>
          <w:kern w:val="0"/>
          <w:sz w:val="32"/>
          <w:szCs w:val="32"/>
        </w:rPr>
        <w:t>完成预算绩效目标评价工作并形成评价报告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结合评价报告进行了反馈、督促整改及信息公开等工作</w:t>
      </w:r>
      <w:r>
        <w:rPr>
          <w:rFonts w:hint="default" w:ascii="Times New Roman" w:hAnsi="Times New Roman" w:eastAsia="仿宋_GB2312" w:cs="Times New Roman"/>
          <w:color w:val="000000"/>
          <w:kern w:val="0"/>
          <w:sz w:val="32"/>
          <w:szCs w:val="32"/>
          <w:lang w:eastAsia="zh-CN"/>
        </w:rPr>
        <w:t>。在预算执行方面，严格按照财政部门的要求，及时追加或调减各项预算指标，及时支付相关财政资金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因此，</w:t>
      </w:r>
      <w:r>
        <w:rPr>
          <w:rFonts w:hint="default" w:ascii="Times New Roman" w:hAnsi="Times New Roman" w:eastAsia="仿宋_GB2312" w:cs="Times New Roman"/>
          <w:color w:val="000000"/>
          <w:kern w:val="0"/>
          <w:sz w:val="32"/>
          <w:szCs w:val="32"/>
          <w:lang w:val="en-US" w:eastAsia="zh-CN"/>
        </w:rPr>
        <w:t>2022年我局项目绩效的效率性较好。</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3.项目的效益性分析</w:t>
      </w:r>
    </w:p>
    <w:p>
      <w:pPr>
        <w:widowControl/>
        <w:spacing w:line="520" w:lineRule="exact"/>
        <w:ind w:firstLine="640" w:firstLineChars="200"/>
        <w:jc w:val="left"/>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城投集团资本金注入，对国有企业进行审计，聘请国企外部董事等，都是国有企业管理的重要举措，对于国有企业的健康发展具有重要意义，效益较高。</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4.项目可持续性分析</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城投集团资本金注入，对国有企业进行审计，聘请国企外部董事等均是我区国有企业管理的长期性工作，具有一定的可持续性。</w:t>
      </w:r>
    </w:p>
    <w:p>
      <w:pPr>
        <w:numPr>
          <w:ilvl w:val="0"/>
          <w:numId w:val="1"/>
        </w:numPr>
        <w:topLinePun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无</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（一）后续工作计划</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严格按照年初预算批复事项，扎实开展各项工作，严格按照时序支付资金，提高预算执行效率和质量。扎实做好下一年预算编制工作，进一步提高预算编制的全面性、科学性、准确性。</w:t>
      </w:r>
    </w:p>
    <w:p>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（二）主要经验做法、改进措施和有关建议等</w:t>
      </w:r>
    </w:p>
    <w:p>
      <w:pPr>
        <w:keepNext w:val="0"/>
        <w:keepLines w:val="0"/>
        <w:pageBreakBefore w:val="0"/>
        <w:kinsoku/>
        <w:wordWrap/>
        <w:overflowPunct/>
        <w:topLine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预算的合理性是行政事业单位内部控制的精髓，应重视部门预算，增强预算控制，充分发挥预算控制在内部控制中的作用。建议</w:t>
      </w:r>
      <w:r>
        <w:rPr>
          <w:rFonts w:hint="default" w:ascii="Times New Roman" w:hAnsi="Times New Roman" w:eastAsia="仿宋_GB2312" w:cs="Times New Roman"/>
          <w:sz w:val="32"/>
          <w:szCs w:val="32"/>
          <w:lang w:val="en-US" w:eastAsia="zh-CN"/>
        </w:rPr>
        <w:t>区财政部门加大对预算编制相关工作培训力度，使预算部门在编制部门预算时能较好地根据单位年度计划，结合财政部门预算安排情况，科学设定项目经费支出绩效目标，提高预算与实际的吻合度。</w:t>
      </w:r>
    </w:p>
    <w:p>
      <w:pPr>
        <w:topLinePunct/>
        <w:spacing w:line="560" w:lineRule="exact"/>
        <w:ind w:firstLine="640" w:firstLineChars="200"/>
        <w:rPr>
          <w:rFonts w:hint="default" w:ascii="Times New Roman" w:hAnsi="Times New Roman" w:eastAsia="仿宋_GB2312" w:cs="Times New Roman"/>
          <w:sz w:val="32"/>
          <w:szCs w:val="32"/>
        </w:rPr>
      </w:pPr>
    </w:p>
    <w:p>
      <w:pPr>
        <w:topLinePunct/>
        <w:spacing w:line="560" w:lineRule="exact"/>
        <w:ind w:firstLine="640" w:firstLineChars="200"/>
        <w:rPr>
          <w:rFonts w:hint="default" w:ascii="Times New Roman" w:hAnsi="Times New Roman" w:eastAsia="仿宋_GB2312" w:cs="Times New Roman"/>
          <w:sz w:val="32"/>
          <w:szCs w:val="32"/>
        </w:rPr>
      </w:pPr>
    </w:p>
    <w:p>
      <w:pPr>
        <w:topLinePunct/>
        <w:spacing w:line="560" w:lineRule="exact"/>
        <w:ind w:firstLine="640" w:firstLineChars="200"/>
        <w:rPr>
          <w:rFonts w:hint="default" w:ascii="Times New Roman" w:hAnsi="Times New Roman" w:eastAsia="仿宋_GB2312" w:cs="Times New Roman"/>
          <w:sz w:val="32"/>
          <w:szCs w:val="32"/>
        </w:rPr>
      </w:pPr>
    </w:p>
    <w:p>
      <w:pPr>
        <w:topLinePunct/>
        <w:spacing w:line="560" w:lineRule="exact"/>
        <w:ind w:firstLine="640" w:firstLineChars="200"/>
        <w:rPr>
          <w:rFonts w:hint="default" w:ascii="Times New Roman" w:hAnsi="Times New Roman" w:eastAsia="仿宋_GB2312" w:cs="Times New Roman"/>
          <w:sz w:val="32"/>
          <w:szCs w:val="32"/>
        </w:rPr>
      </w:pPr>
    </w:p>
    <w:p>
      <w:pPr>
        <w:topLinePunct/>
        <w:spacing w:line="560" w:lineRule="exact"/>
        <w:ind w:firstLine="3040" w:firstLineChars="9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昆明市呈贡区国有资产监督管理局</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2023年4月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topLinePunct/>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cs="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960A4"/>
    <w:multiLevelType w:val="singleLevel"/>
    <w:tmpl w:val="5AE960A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987"/>
    <w:rsid w:val="000A6B64"/>
    <w:rsid w:val="00106E15"/>
    <w:rsid w:val="00182E2C"/>
    <w:rsid w:val="001E1FD1"/>
    <w:rsid w:val="002119F4"/>
    <w:rsid w:val="002A5D61"/>
    <w:rsid w:val="00345020"/>
    <w:rsid w:val="00402563"/>
    <w:rsid w:val="0040260C"/>
    <w:rsid w:val="004A61F9"/>
    <w:rsid w:val="004B7C06"/>
    <w:rsid w:val="005148CB"/>
    <w:rsid w:val="00561A75"/>
    <w:rsid w:val="005755AB"/>
    <w:rsid w:val="00651987"/>
    <w:rsid w:val="006A7696"/>
    <w:rsid w:val="007B6F5D"/>
    <w:rsid w:val="00881076"/>
    <w:rsid w:val="008B17CD"/>
    <w:rsid w:val="008E5888"/>
    <w:rsid w:val="00920D98"/>
    <w:rsid w:val="0094267B"/>
    <w:rsid w:val="009D4DDB"/>
    <w:rsid w:val="00AC6027"/>
    <w:rsid w:val="00B87784"/>
    <w:rsid w:val="00B95C25"/>
    <w:rsid w:val="00C16E97"/>
    <w:rsid w:val="00C42ACB"/>
    <w:rsid w:val="00C621A7"/>
    <w:rsid w:val="00E00B7E"/>
    <w:rsid w:val="00E43C61"/>
    <w:rsid w:val="00E7210F"/>
    <w:rsid w:val="00EB75B0"/>
    <w:rsid w:val="1D0C64F3"/>
    <w:rsid w:val="2CFE6E72"/>
    <w:rsid w:val="4EB815EB"/>
    <w:rsid w:val="508D0734"/>
    <w:rsid w:val="5F0B579C"/>
    <w:rsid w:val="64B1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列出段落1"/>
    <w:basedOn w:val="1"/>
    <w:qFormat/>
    <w:uiPriority w:val="34"/>
    <w:pPr>
      <w:ind w:firstLine="420" w:firstLineChars="200"/>
    </w:pPr>
    <w:rPr>
      <w:rFonts w:ascii="等线" w:hAnsi="等线" w:eastAsia="等线"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190</Words>
  <Characters>1084</Characters>
  <Lines>9</Lines>
  <Paragraphs>2</Paragraphs>
  <TotalTime>1</TotalTime>
  <ScaleCrop>false</ScaleCrop>
  <LinksUpToDate>false</LinksUpToDate>
  <CharactersWithSpaces>1272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2023-04-06T03:20:00Z</dcterms:created>
  <dc:creator>何颖</dc:creator>
  <cp:lastModifiedBy>Administrator</cp:lastModifiedBy>
  <dcterms:modified xsi:type="dcterms:W3CDTF">2023-04-13T06:46:20Z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