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昆明市呈贡区财政局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2022年国库集中支付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32"/>
        </w:rPr>
        <w:t>（一）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项目概况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</w:rPr>
        <w:t>根</w:t>
      </w:r>
      <w:r>
        <w:rPr>
          <w:rFonts w:hint="default" w:ascii="Times New Roman" w:hAnsi="Times New Roman" w:eastAsia="仿宋_GB2312" w:cs="Times New Roman"/>
          <w:color w:val="000000"/>
        </w:rPr>
        <w:t>据呈贡区财政国库管理制度改革试点方案和相关管理办法，呈贡区财政局委托中国工商银行呈贡支行、呈贡农村信用社、建设银行呈贡支行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、富滇银行呈贡支行</w:t>
      </w:r>
      <w:r>
        <w:rPr>
          <w:rFonts w:hint="default" w:ascii="Times New Roman" w:hAnsi="Times New Roman" w:eastAsia="仿宋_GB2312" w:cs="Times New Roman"/>
          <w:color w:val="000000"/>
        </w:rPr>
        <w:t>代理财政直接支付、财政授权支付业务，根据我局与各集中支付代理银行签订协议，每年根据银行代理业务量支付万分之五手续费，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当年度支付上一年度手续费。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</w:rPr>
        <w:t>）绩效目标设定及指标完成情况</w:t>
      </w:r>
    </w:p>
    <w:p>
      <w:pPr>
        <w:topLinePunct/>
        <w:spacing w:line="560" w:lineRule="exact"/>
        <w:ind w:firstLine="59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lang w:eastAsia="zh-CN"/>
        </w:rPr>
        <w:t>该项工作旨在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为呈贡区全部预算单位代理财政授权支付业务，推进财政国库管理制度改革，加强财政性资金管理与监督，提高资金运作和使用效率，有效保障财政资金安全规范运行。</w:t>
      </w:r>
      <w:r>
        <w:rPr>
          <w:rFonts w:hint="default" w:ascii="Times New Roman" w:hAnsi="Times New Roman" w:eastAsia="仿宋_GB2312" w:cs="Times New Roman"/>
          <w:szCs w:val="32"/>
        </w:rPr>
        <w:t>根据《关于批复202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年部门预算的通知》（呈财行〔202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32"/>
        </w:rPr>
        <w:t>号）</w:t>
      </w:r>
      <w:r>
        <w:rPr>
          <w:rFonts w:hint="default" w:ascii="Times New Roman" w:hAnsi="Times New Roman" w:cs="Times New Roman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Cs w:val="32"/>
        </w:rPr>
        <w:t>按照预算批复及项目执行进度</w:t>
      </w:r>
      <w:r>
        <w:rPr>
          <w:rFonts w:hint="default" w:ascii="Times New Roman" w:hAnsi="Times New Roman" w:cs="Times New Roman"/>
          <w:spacing w:val="-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Cs w:val="32"/>
        </w:rPr>
        <w:t>合理</w:t>
      </w:r>
      <w:r>
        <w:rPr>
          <w:rFonts w:hint="default" w:ascii="Times New Roman" w:hAnsi="Times New Roman" w:cs="Times New Roman"/>
          <w:spacing w:val="-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Cs w:val="32"/>
        </w:rPr>
        <w:t>合法</w:t>
      </w:r>
      <w:r>
        <w:rPr>
          <w:rFonts w:hint="default" w:ascii="Times New Roman" w:hAnsi="Times New Roman" w:cs="Times New Roman"/>
          <w:spacing w:val="-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Cs w:val="32"/>
        </w:rPr>
        <w:t>合规地使用财政资金，实现社会效益最大化，社会满意度最大化。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项目资金的使用符合相关财务管理制度和规定，会计核算健全规范，做到专款专用。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项目按绩效目标正常开展，达到良好的政治、经济效益。项目自评评分</w:t>
      </w:r>
      <w:r>
        <w:rPr>
          <w:rFonts w:hint="default" w:ascii="Times New Roman" w:hAnsi="Times New Roman" w:cs="Times New Roman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预算绩效管理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目资金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年初预算安排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300万元，调减46.75万元，调整预算数253.25万元，到位率100%，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实际使用资金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253.25万元，执行率100%。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项目资金的使用符合相关财务管理制度和规定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会计核算健全规范，做到了专款专用。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前期区财政局分别与</w:t>
      </w:r>
      <w:r>
        <w:rPr>
          <w:rFonts w:hint="default" w:ascii="Times New Roman" w:hAnsi="Times New Roman" w:eastAsia="仿宋_GB2312" w:cs="Times New Roman"/>
          <w:color w:val="auto"/>
        </w:rPr>
        <w:t>中国工商银行呈贡支行、呈贡农村信用社、建设银行呈贡支行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、富滇银行呈贡支行等银行签订协议，由这些银行</w:t>
      </w:r>
      <w:r>
        <w:rPr>
          <w:rFonts w:hint="default" w:ascii="Times New Roman" w:hAnsi="Times New Roman" w:eastAsia="仿宋_GB2312" w:cs="Times New Roman"/>
          <w:color w:val="auto"/>
        </w:rPr>
        <w:t>代理财政直接支付、财政授权支付等业务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，根据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云南省一体化财政管理信息系统最终统计财政国库业务流量，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按照万分之五的比例支付手续费。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739" w:firstLineChars="249"/>
        <w:textAlignment w:val="auto"/>
        <w:rPr>
          <w:rFonts w:hint="default" w:ascii="Times New Roman" w:hAnsi="Times New Roman" w:eastAsia="仿宋_GB2312" w:cs="Times New Roman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2021年1-12月共发生授权支付金额484,874.88万元，共计支付手续费242.44万元，其中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呈贡区农村信用合作联社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代理手续费为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118.94万元，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工商银行呈贡支行代理手续费为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89.49万元，</w:t>
      </w:r>
      <w:r>
        <w:rPr>
          <w:rFonts w:hint="default" w:ascii="Times New Roman" w:hAnsi="Times New Roman" w:eastAsia="仿宋_GB2312" w:cs="Times New Roman"/>
          <w:color w:val="000000"/>
        </w:rPr>
        <w:t>建设银行呈贡支行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代理手续费为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33.35万元，交通银行呈贡支行手续费为0.6万元，</w:t>
      </w: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富滇银行呈贡支行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代理手续费为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0.05万元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739" w:firstLineChars="249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lang w:eastAsia="zh-CN"/>
        </w:rPr>
        <w:t>剩余</w:t>
      </w: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>10.31万元，用于国库集中支付其他相关支出，最终国库集中支付项目资金实际支出为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253.25万元。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1.经济性：该项目是根据上一年度各代理银行</w:t>
      </w:r>
      <w:r>
        <w:rPr>
          <w:rFonts w:hint="default" w:ascii="Times New Roman" w:hAnsi="Times New Roman" w:eastAsia="仿宋_GB2312" w:cs="Times New Roman"/>
        </w:rPr>
        <w:t>代理财政直接支付、财政授权支付等业务的业务流量，按照万分之五的比例来支付手续费，但在实际工作中，会存在调整预算指标的情况，对项目成本的预算控制、节约等情况无法做到人为调整。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2.效率性：由于该项目的特殊性，根据财政与代理银行签订的协议，资金汇划手续费按规定按年支付。我局在人大批复项目预算后按照实际支付给代理银行，不存在延误进度的情况。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3.有效性：该项目按照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银行</w:t>
      </w:r>
      <w:r>
        <w:rPr>
          <w:rFonts w:hint="default" w:ascii="Times New Roman" w:hAnsi="Times New Roman" w:eastAsia="仿宋_GB2312" w:cs="Times New Roman"/>
          <w:color w:val="auto"/>
        </w:rPr>
        <w:t>代理财政直接支付、财政授权支付等业务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流量金额的万分之五支付代理费，支付金额较为清晰准确。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4.可持续性：银行代理</w:t>
      </w:r>
      <w:r>
        <w:rPr>
          <w:rFonts w:hint="default" w:ascii="Times New Roman" w:hAnsi="Times New Roman" w:eastAsia="仿宋_GB2312" w:cs="Times New Roman"/>
          <w:color w:val="auto"/>
        </w:rPr>
        <w:t>财政直接支付、财政授权支付等业务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是财政工作的特点，是一项长期性、延续性工作。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该项目</w:t>
      </w:r>
      <w:r>
        <w:rPr>
          <w:rFonts w:hint="default" w:ascii="Times New Roman" w:hAnsi="Times New Roman" w:eastAsia="仿宋_GB2312" w:cs="Times New Roman"/>
          <w:szCs w:val="32"/>
        </w:rPr>
        <w:t>立项依据充分，拨付及时，无滞留、闲置等现象，资金使用合规，无截留、挪用等现象，但在实际工作中，会存在调整预算指标，对预算资金的准确性会有所欠缺。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按照相关协议，继续推动国库集中支付工作，由相关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银行代理</w:t>
      </w:r>
      <w:r>
        <w:rPr>
          <w:rFonts w:hint="default" w:ascii="Times New Roman" w:hAnsi="Times New Roman" w:eastAsia="仿宋_GB2312" w:cs="Times New Roman"/>
          <w:color w:val="auto"/>
        </w:rPr>
        <w:t>财政直接支付、财政授权支付等业务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项目资金预算不够完整，细化，部分资金未列入预算。建议: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的合理性是行政事业单位内部控制的精髓，应重视部门预算，增强预算控制，充分发挥预算控制在内部控制中的作用。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4752" w:firstLineChars="16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昆明市呈贡区财政局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5049" w:firstLineChars="17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2023年4月7日</w:t>
      </w: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0A4"/>
    <w:multiLevelType w:val="singleLevel"/>
    <w:tmpl w:val="5AE960A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C73AA0"/>
    <w:rsid w:val="183C0DD2"/>
    <w:rsid w:val="19020629"/>
    <w:rsid w:val="35BD37BB"/>
    <w:rsid w:val="48D00652"/>
    <w:rsid w:val="54752A53"/>
    <w:rsid w:val="54A722CA"/>
    <w:rsid w:val="64B12EA4"/>
    <w:rsid w:val="68597212"/>
    <w:rsid w:val="6AE112B4"/>
    <w:rsid w:val="7D2C0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Character Style 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2023-04-13T06:43:29Z</dcterms:modified>
  <dc:title>附件4-2: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