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昆明市呈贡区财政局</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2022年200万以下</w:t>
      </w:r>
      <w:r>
        <w:rPr>
          <w:rFonts w:hint="default" w:ascii="Times New Roman" w:hAnsi="Times New Roman" w:eastAsia="方正小标宋简体" w:cs="Times New Roman"/>
          <w:sz w:val="44"/>
          <w:szCs w:val="44"/>
        </w:rPr>
        <w:t>项目支出绩效报告</w:t>
      </w:r>
    </w:p>
    <w:p>
      <w:pPr>
        <w:spacing w:line="600" w:lineRule="exact"/>
        <w:ind w:firstLine="594" w:firstLineChars="200"/>
        <w:rPr>
          <w:rFonts w:hint="default" w:ascii="Times New Roman" w:hAnsi="Times New Roman" w:cs="Times New Roman"/>
          <w:b/>
          <w:szCs w:val="32"/>
        </w:rPr>
      </w:pP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tabs>
          <w:tab w:val="center" w:pos="4496"/>
        </w:tabs>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eastAsia="楷体_GB2312" w:cs="Times New Roman"/>
          <w:sz w:val="32"/>
          <w:szCs w:val="32"/>
        </w:rPr>
        <w:t>（一）项目概况</w:t>
      </w:r>
      <w:r>
        <w:rPr>
          <w:rFonts w:hint="default" w:ascii="Times New Roman" w:hAnsi="Times New Roman" w:cs="Times New Roman"/>
          <w:sz w:val="32"/>
          <w:szCs w:val="32"/>
        </w:rPr>
        <w:tab/>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年区财政局</w:t>
      </w:r>
      <w:r>
        <w:rPr>
          <w:rFonts w:hint="default" w:ascii="Times New Roman" w:hAnsi="Times New Roman" w:cs="Times New Roman"/>
          <w:sz w:val="32"/>
          <w:szCs w:val="32"/>
          <w:lang w:eastAsia="zh-CN"/>
        </w:rPr>
        <w:t>按照上级相关要求，结合部门职责职能，扎实开展各项业务工作，推动相关工作顺利开展。因</w:t>
      </w:r>
      <w:r>
        <w:rPr>
          <w:rFonts w:hint="default" w:ascii="Times New Roman" w:hAnsi="Times New Roman" w:cs="Times New Roman"/>
          <w:sz w:val="32"/>
          <w:szCs w:val="32"/>
          <w:lang w:val="en-US" w:eastAsia="zh-CN"/>
        </w:rPr>
        <w:t>2022年财力紧张，区财政局200万元项目支出主要集中在预算绩效管理、土地增值税清算、财政相关系统运行维护、局机关运行保障等刚性需求方面。</w:t>
      </w:r>
    </w:p>
    <w:p>
      <w:pPr>
        <w:topLinePunct/>
        <w:ind w:firstLine="594" w:firstLineChars="200"/>
        <w:rPr>
          <w:rFonts w:hint="default" w:ascii="Times New Roman" w:hAnsi="Times New Roman" w:eastAsia="楷体" w:cs="Times New Roman"/>
          <w:szCs w:val="32"/>
        </w:rPr>
      </w:pPr>
      <w:r>
        <w:rPr>
          <w:rFonts w:hint="default" w:ascii="Times New Roman" w:hAnsi="Times New Roman" w:eastAsia="楷体" w:cs="Times New Roman"/>
          <w:szCs w:val="32"/>
        </w:rPr>
        <w:t>（</w:t>
      </w:r>
      <w:r>
        <w:rPr>
          <w:rFonts w:hint="default" w:ascii="Times New Roman" w:hAnsi="Times New Roman" w:eastAsia="楷体" w:cs="Times New Roman"/>
          <w:szCs w:val="32"/>
          <w:lang w:eastAsia="zh-CN"/>
        </w:rPr>
        <w:t>二</w:t>
      </w:r>
      <w:r>
        <w:rPr>
          <w:rFonts w:hint="default" w:ascii="Times New Roman" w:hAnsi="Times New Roman" w:eastAsia="楷体" w:cs="Times New Roman"/>
          <w:szCs w:val="32"/>
        </w:rPr>
        <w:t>）绩效目标设定及指标完成情况</w:t>
      </w:r>
    </w:p>
    <w:p>
      <w:pPr>
        <w:keepNext w:val="0"/>
        <w:keepLines w:val="0"/>
        <w:pageBreakBefore w:val="0"/>
        <w:kinsoku/>
        <w:wordWrap/>
        <w:overflowPunct/>
        <w:autoSpaceDE/>
        <w:autoSpaceDN/>
        <w:bidi w:val="0"/>
        <w:adjustRightInd/>
        <w:snapToGrid/>
        <w:spacing w:line="600" w:lineRule="exact"/>
        <w:ind w:firstLine="594" w:firstLineChars="200"/>
        <w:textAlignment w:val="auto"/>
        <w:rPr>
          <w:rFonts w:hint="default" w:ascii="Times New Roman" w:hAnsi="Times New Roman" w:eastAsia="仿宋_GB2312" w:cs="Times New Roman"/>
          <w:spacing w:val="-2"/>
          <w:szCs w:val="32"/>
        </w:rPr>
      </w:pPr>
      <w:r>
        <w:rPr>
          <w:rFonts w:hint="default" w:ascii="Times New Roman" w:hAnsi="Times New Roman" w:eastAsia="仿宋_GB2312" w:cs="Times New Roman"/>
          <w:kern w:val="0"/>
          <w:sz w:val="32"/>
          <w:szCs w:val="32"/>
        </w:rPr>
        <w:t>做好财政收支，加大重点税源的督促与催缴强化非税监管，落实收支两条线。深化财政改革，推行国库集中支付，保民生，保重点，科学统筹各项财政支出，做好社会保障，建设和谐呈贡</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szCs w:val="32"/>
        </w:rPr>
        <w:t>根据《关于批复202</w:t>
      </w:r>
      <w:r>
        <w:rPr>
          <w:rFonts w:hint="default" w:ascii="Times New Roman" w:hAnsi="Times New Roman" w:cs="Times New Roman"/>
          <w:szCs w:val="32"/>
          <w:lang w:val="en-US" w:eastAsia="zh-CN"/>
        </w:rPr>
        <w:t>2</w:t>
      </w:r>
      <w:r>
        <w:rPr>
          <w:rFonts w:hint="default" w:ascii="Times New Roman" w:hAnsi="Times New Roman" w:eastAsia="仿宋_GB2312" w:cs="Times New Roman"/>
          <w:szCs w:val="32"/>
        </w:rPr>
        <w:t>年部门预算的通知》（呈财行〔202</w:t>
      </w:r>
      <w:r>
        <w:rPr>
          <w:rFonts w:hint="default" w:ascii="Times New Roman" w:hAnsi="Times New Roman" w:cs="Times New Roman"/>
          <w:szCs w:val="32"/>
          <w:lang w:val="en-US" w:eastAsia="zh-CN"/>
        </w:rPr>
        <w:t>2</w:t>
      </w:r>
      <w:r>
        <w:rPr>
          <w:rFonts w:hint="default" w:ascii="Times New Roman" w:hAnsi="Times New Roman" w:eastAsia="仿宋_GB2312" w:cs="Times New Roman"/>
          <w:szCs w:val="32"/>
        </w:rPr>
        <w:t>〕</w:t>
      </w:r>
      <w:r>
        <w:rPr>
          <w:rFonts w:hint="default" w:ascii="Times New Roman" w:hAnsi="Times New Roman" w:cs="Times New Roman"/>
          <w:szCs w:val="32"/>
          <w:lang w:val="en-US" w:eastAsia="zh-CN"/>
        </w:rPr>
        <w:t>4</w:t>
      </w:r>
      <w:r>
        <w:rPr>
          <w:rFonts w:hint="default" w:ascii="Times New Roman" w:hAnsi="Times New Roman" w:eastAsia="仿宋_GB2312" w:cs="Times New Roman"/>
          <w:szCs w:val="32"/>
        </w:rPr>
        <w:t>号）</w:t>
      </w:r>
      <w:r>
        <w:rPr>
          <w:rFonts w:hint="default" w:ascii="Times New Roman" w:hAnsi="Times New Roman" w:cs="Times New Roman"/>
          <w:szCs w:val="32"/>
          <w:lang w:eastAsia="zh-CN"/>
        </w:rPr>
        <w:t>精神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pacing w:val="-2"/>
          <w:szCs w:val="32"/>
        </w:rPr>
        <w:t>按照预算批复及项目执行进度</w:t>
      </w:r>
      <w:r>
        <w:rPr>
          <w:rFonts w:hint="default" w:ascii="Times New Roman" w:hAnsi="Times New Roman" w:cs="Times New Roman"/>
          <w:spacing w:val="-2"/>
          <w:szCs w:val="32"/>
          <w:lang w:eastAsia="zh-CN"/>
        </w:rPr>
        <w:t>，</w:t>
      </w:r>
      <w:r>
        <w:rPr>
          <w:rFonts w:hint="default" w:ascii="Times New Roman" w:hAnsi="Times New Roman" w:eastAsia="仿宋_GB2312" w:cs="Times New Roman"/>
          <w:spacing w:val="-2"/>
          <w:szCs w:val="32"/>
        </w:rPr>
        <w:t>合理</w:t>
      </w:r>
      <w:r>
        <w:rPr>
          <w:rFonts w:hint="default" w:ascii="Times New Roman" w:hAnsi="Times New Roman" w:cs="Times New Roman"/>
          <w:spacing w:val="-2"/>
          <w:szCs w:val="32"/>
          <w:lang w:eastAsia="zh-CN"/>
        </w:rPr>
        <w:t>、</w:t>
      </w:r>
      <w:r>
        <w:rPr>
          <w:rFonts w:hint="default" w:ascii="Times New Roman" w:hAnsi="Times New Roman" w:eastAsia="仿宋_GB2312" w:cs="Times New Roman"/>
          <w:spacing w:val="-2"/>
          <w:szCs w:val="32"/>
        </w:rPr>
        <w:t>合法</w:t>
      </w:r>
      <w:r>
        <w:rPr>
          <w:rFonts w:hint="default" w:ascii="Times New Roman" w:hAnsi="Times New Roman" w:cs="Times New Roman"/>
          <w:spacing w:val="-2"/>
          <w:szCs w:val="32"/>
          <w:lang w:eastAsia="zh-CN"/>
        </w:rPr>
        <w:t>、</w:t>
      </w:r>
      <w:r>
        <w:rPr>
          <w:rFonts w:hint="default" w:ascii="Times New Roman" w:hAnsi="Times New Roman" w:eastAsia="仿宋_GB2312" w:cs="Times New Roman"/>
          <w:spacing w:val="-2"/>
          <w:szCs w:val="32"/>
        </w:rPr>
        <w:t>合规地使用财政资金，实现社会效益最大化，社会满意度最大化。</w:t>
      </w:r>
    </w:p>
    <w:p>
      <w:pPr>
        <w:keepNext w:val="0"/>
        <w:keepLines w:val="0"/>
        <w:pageBreakBefore w:val="0"/>
        <w:kinsoku/>
        <w:wordWrap/>
        <w:overflowPunct/>
        <w:autoSpaceDE/>
        <w:autoSpaceDN/>
        <w:bidi w:val="0"/>
        <w:adjustRightInd/>
        <w:snapToGrid/>
        <w:spacing w:line="600" w:lineRule="exact"/>
        <w:ind w:firstLine="594" w:firstLineChars="200"/>
        <w:textAlignment w:val="auto"/>
        <w:rPr>
          <w:rFonts w:hint="default" w:ascii="Times New Roman" w:hAnsi="Times New Roman" w:eastAsia="仿宋_GB2312" w:cs="Times New Roman"/>
          <w:szCs w:val="32"/>
          <w:lang w:val="en-US" w:eastAsia="zh-CN"/>
        </w:rPr>
      </w:pPr>
      <w:bookmarkStart w:id="0" w:name="_GoBack"/>
      <w:bookmarkEnd w:id="0"/>
      <w:r>
        <w:rPr>
          <w:rFonts w:hint="default" w:ascii="Times New Roman" w:hAnsi="Times New Roman" w:eastAsia="仿宋_GB2312" w:cs="Times New Roman"/>
          <w:szCs w:val="32"/>
          <w:lang w:val="en-US" w:eastAsia="zh-CN"/>
        </w:rPr>
        <w:t>项目按绩效目标正常开展，达到良好的政治、经济效益。项目自评评分99分。</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1.预算绩效管理。2022年度</w:t>
      </w:r>
      <w:r>
        <w:rPr>
          <w:rFonts w:hint="default" w:ascii="Times New Roman" w:hAnsi="Times New Roman" w:cs="Times New Roman"/>
          <w:szCs w:val="32"/>
          <w:lang w:val="en-US" w:eastAsia="zh-CN"/>
        </w:rPr>
        <w:t>预算绩效管理</w:t>
      </w:r>
      <w:r>
        <w:rPr>
          <w:rFonts w:hint="default" w:ascii="Times New Roman" w:hAnsi="Times New Roman" w:eastAsia="仿宋_GB2312" w:cs="Times New Roman"/>
          <w:color w:val="auto"/>
          <w:szCs w:val="32"/>
          <w:highlight w:val="none"/>
        </w:rPr>
        <w:t>目资金</w:t>
      </w:r>
      <w:r>
        <w:rPr>
          <w:rFonts w:hint="default" w:ascii="Times New Roman" w:hAnsi="Times New Roman" w:cs="Times New Roman"/>
          <w:color w:val="auto"/>
          <w:szCs w:val="32"/>
          <w:highlight w:val="none"/>
          <w:lang w:eastAsia="zh-CN"/>
        </w:rPr>
        <w:t>年初预算安排</w:t>
      </w:r>
      <w:r>
        <w:rPr>
          <w:rFonts w:hint="default" w:ascii="Times New Roman" w:hAnsi="Times New Roman" w:cs="Times New Roman"/>
          <w:color w:val="auto"/>
          <w:szCs w:val="32"/>
          <w:highlight w:val="none"/>
          <w:lang w:val="en-US" w:eastAsia="zh-CN"/>
        </w:rPr>
        <w:t>105.88万元，追加23.7万元，调整预算数129.58万元，到位率100%，</w:t>
      </w:r>
      <w:r>
        <w:rPr>
          <w:rFonts w:hint="default" w:ascii="Times New Roman" w:hAnsi="Times New Roman" w:cs="Times New Roman"/>
          <w:color w:val="auto"/>
          <w:szCs w:val="32"/>
          <w:highlight w:val="none"/>
          <w:lang w:eastAsia="zh-CN"/>
        </w:rPr>
        <w:t>实际使用资金</w:t>
      </w:r>
      <w:r>
        <w:rPr>
          <w:rFonts w:hint="default" w:ascii="Times New Roman" w:hAnsi="Times New Roman" w:cs="Times New Roman"/>
          <w:color w:val="auto"/>
          <w:szCs w:val="32"/>
          <w:highlight w:val="none"/>
          <w:lang w:val="en-US" w:eastAsia="zh-CN"/>
        </w:rPr>
        <w:t>127.69万元，执行率98.54%。</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cs="Times New Roman"/>
          <w:color w:val="auto"/>
          <w:szCs w:val="32"/>
          <w:highlight w:val="none"/>
          <w:lang w:val="en-US" w:eastAsia="zh-CN"/>
        </w:rPr>
      </w:pPr>
      <w:r>
        <w:rPr>
          <w:rFonts w:hint="default" w:ascii="Times New Roman" w:hAnsi="Times New Roman" w:cs="Times New Roman"/>
          <w:szCs w:val="32"/>
          <w:lang w:val="en-US" w:eastAsia="zh-CN"/>
        </w:rPr>
        <w:t>2.土地增值税清算。2022年度土地增值税清算审核项目</w:t>
      </w:r>
      <w:r>
        <w:rPr>
          <w:rFonts w:hint="default" w:ascii="Times New Roman" w:hAnsi="Times New Roman" w:eastAsia="仿宋_GB2312" w:cs="Times New Roman"/>
          <w:color w:val="auto"/>
          <w:szCs w:val="32"/>
          <w:highlight w:val="none"/>
        </w:rPr>
        <w:t>资金</w:t>
      </w:r>
      <w:r>
        <w:rPr>
          <w:rFonts w:hint="default" w:ascii="Times New Roman" w:hAnsi="Times New Roman" w:cs="Times New Roman"/>
          <w:color w:val="auto"/>
          <w:szCs w:val="32"/>
          <w:highlight w:val="none"/>
          <w:lang w:eastAsia="zh-CN"/>
        </w:rPr>
        <w:t>年初预算安排</w:t>
      </w:r>
      <w:r>
        <w:rPr>
          <w:rFonts w:hint="default" w:ascii="Times New Roman" w:hAnsi="Times New Roman" w:cs="Times New Roman"/>
          <w:color w:val="auto"/>
          <w:szCs w:val="32"/>
          <w:highlight w:val="none"/>
          <w:lang w:val="en-US" w:eastAsia="zh-CN"/>
        </w:rPr>
        <w:t>83.4万元，调减39.6万元，调整预算数43.8万元，到位率100%，</w:t>
      </w:r>
      <w:r>
        <w:rPr>
          <w:rFonts w:hint="default" w:ascii="Times New Roman" w:hAnsi="Times New Roman" w:cs="Times New Roman"/>
          <w:color w:val="auto"/>
          <w:szCs w:val="32"/>
          <w:highlight w:val="none"/>
          <w:lang w:eastAsia="zh-CN"/>
        </w:rPr>
        <w:t>实际使用资金</w:t>
      </w:r>
      <w:r>
        <w:rPr>
          <w:rFonts w:hint="default" w:ascii="Times New Roman" w:hAnsi="Times New Roman" w:cs="Times New Roman"/>
          <w:color w:val="auto"/>
          <w:szCs w:val="32"/>
          <w:highlight w:val="none"/>
          <w:lang w:val="en-US" w:eastAsia="zh-CN"/>
        </w:rPr>
        <w:t>43.4万元，执行率99.09%。</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cs="Times New Roman"/>
          <w:color w:val="auto"/>
          <w:szCs w:val="32"/>
          <w:highlight w:val="none"/>
          <w:lang w:val="en-US" w:eastAsia="zh-CN"/>
        </w:rPr>
      </w:pPr>
      <w:r>
        <w:rPr>
          <w:rFonts w:hint="default" w:ascii="Times New Roman" w:hAnsi="Times New Roman" w:cs="Times New Roman"/>
          <w:b w:val="0"/>
          <w:kern w:val="2"/>
          <w:sz w:val="32"/>
          <w:szCs w:val="32"/>
          <w:lang w:val="en-US" w:eastAsia="zh-CN" w:bidi="ar-SA"/>
        </w:rPr>
        <w:t>3.</w:t>
      </w:r>
      <w:r>
        <w:rPr>
          <w:rFonts w:hint="default" w:ascii="Times New Roman" w:hAnsi="Times New Roman" w:eastAsia="仿宋_GB2312" w:cs="Times New Roman"/>
          <w:b w:val="0"/>
          <w:kern w:val="2"/>
          <w:sz w:val="32"/>
          <w:szCs w:val="32"/>
          <w:lang w:val="en-US" w:eastAsia="zh-CN" w:bidi="ar-SA"/>
        </w:rPr>
        <w:t>党政机关及事业单位国有资产清理清查</w:t>
      </w:r>
      <w:r>
        <w:rPr>
          <w:rFonts w:hint="default" w:ascii="Times New Roman" w:hAnsi="Times New Roman"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2022</w:t>
      </w:r>
      <w:r>
        <w:rPr>
          <w:rFonts w:hint="default" w:ascii="Times New Roman" w:hAnsi="Times New Roman" w:cs="Times New Roman"/>
          <w:b w:val="0"/>
          <w:kern w:val="2"/>
          <w:sz w:val="32"/>
          <w:szCs w:val="32"/>
          <w:lang w:val="en-US" w:eastAsia="zh-CN" w:bidi="ar-SA"/>
        </w:rPr>
        <w:t>年度</w:t>
      </w:r>
      <w:r>
        <w:rPr>
          <w:rFonts w:hint="default" w:ascii="Times New Roman" w:hAnsi="Times New Roman" w:eastAsia="仿宋_GB2312" w:cs="Times New Roman"/>
          <w:b w:val="0"/>
          <w:kern w:val="2"/>
          <w:sz w:val="32"/>
          <w:szCs w:val="32"/>
          <w:lang w:val="en-US" w:eastAsia="zh-CN" w:bidi="ar-SA"/>
        </w:rPr>
        <w:t>呈贡区区属党政机关及事业单位国有资产清理清查工作</w:t>
      </w:r>
      <w:r>
        <w:rPr>
          <w:rFonts w:hint="default" w:ascii="Times New Roman" w:hAnsi="Times New Roman" w:cs="Times New Roman"/>
          <w:b w:val="0"/>
          <w:kern w:val="2"/>
          <w:sz w:val="32"/>
          <w:szCs w:val="32"/>
          <w:lang w:val="en-US" w:eastAsia="zh-CN" w:bidi="ar-SA"/>
        </w:rPr>
        <w:t>项目资金年初安排0万元，</w:t>
      </w:r>
      <w:r>
        <w:rPr>
          <w:rFonts w:hint="default" w:ascii="Times New Roman" w:hAnsi="Times New Roman" w:cs="Times New Roman"/>
          <w:color w:val="auto"/>
          <w:szCs w:val="32"/>
          <w:highlight w:val="none"/>
          <w:lang w:val="en-US" w:eastAsia="zh-CN"/>
        </w:rPr>
        <w:t>追加7.6万元，调整预算数7.6万元，到位率100%，</w:t>
      </w:r>
      <w:r>
        <w:rPr>
          <w:rFonts w:hint="default" w:ascii="Times New Roman" w:hAnsi="Times New Roman" w:cs="Times New Roman"/>
          <w:color w:val="auto"/>
          <w:szCs w:val="32"/>
          <w:highlight w:val="none"/>
          <w:lang w:eastAsia="zh-CN"/>
        </w:rPr>
        <w:t>实际使用资金</w:t>
      </w:r>
      <w:r>
        <w:rPr>
          <w:rFonts w:hint="default" w:ascii="Times New Roman" w:hAnsi="Times New Roman" w:cs="Times New Roman"/>
          <w:color w:val="auto"/>
          <w:szCs w:val="32"/>
          <w:highlight w:val="none"/>
          <w:lang w:val="en-US" w:eastAsia="zh-CN"/>
        </w:rPr>
        <w:t>7.6万元，执行率100%。</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4.</w:t>
      </w:r>
      <w:r>
        <w:rPr>
          <w:rFonts w:hint="default" w:ascii="Times New Roman" w:hAnsi="Times New Roman" w:eastAsia="仿宋_GB2312" w:cs="Times New Roman"/>
          <w:b w:val="0"/>
          <w:kern w:val="2"/>
          <w:sz w:val="32"/>
          <w:szCs w:val="32"/>
          <w:lang w:val="en-US" w:eastAsia="zh-CN" w:bidi="ar-SA"/>
        </w:rPr>
        <w:t>市政特种专业技术车辆评估服务</w:t>
      </w:r>
      <w:r>
        <w:rPr>
          <w:rFonts w:hint="default" w:ascii="Times New Roman" w:hAnsi="Times New Roman"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2022年度市政特种专业技术车辆评估服务项目资金年初安排0万元，追加8.34万元，调整预算数8.34万元，到位率100%，实际使用资金8.34万元，执行率100%。</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5.</w:t>
      </w:r>
      <w:r>
        <w:rPr>
          <w:rFonts w:hint="default" w:ascii="Times New Roman" w:hAnsi="Times New Roman" w:eastAsia="仿宋_GB2312" w:cs="Times New Roman"/>
          <w:b w:val="0"/>
          <w:kern w:val="2"/>
          <w:sz w:val="32"/>
          <w:szCs w:val="32"/>
          <w:lang w:val="en-US" w:eastAsia="zh-CN" w:bidi="ar-SA"/>
        </w:rPr>
        <w:t>财政管理相关系统运行维护</w:t>
      </w:r>
      <w:r>
        <w:rPr>
          <w:rFonts w:hint="default" w:ascii="Times New Roman" w:hAnsi="Times New Roman"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2022年度财政管理相关系统运行维护项目资金年初安排</w:t>
      </w:r>
      <w:r>
        <w:rPr>
          <w:rFonts w:hint="default" w:ascii="Times New Roman" w:hAnsi="Times New Roman" w:cs="Times New Roman"/>
          <w:b w:val="0"/>
          <w:kern w:val="2"/>
          <w:sz w:val="32"/>
          <w:szCs w:val="32"/>
          <w:lang w:val="en-US" w:eastAsia="zh-CN" w:bidi="ar-SA"/>
        </w:rPr>
        <w:t>60.86</w:t>
      </w:r>
      <w:r>
        <w:rPr>
          <w:rFonts w:hint="default" w:ascii="Times New Roman" w:hAnsi="Times New Roman" w:eastAsia="仿宋_GB2312" w:cs="Times New Roman"/>
          <w:b w:val="0"/>
          <w:kern w:val="2"/>
          <w:sz w:val="32"/>
          <w:szCs w:val="32"/>
          <w:lang w:val="en-US" w:eastAsia="zh-CN" w:bidi="ar-SA"/>
        </w:rPr>
        <w:t>万元，</w:t>
      </w:r>
      <w:r>
        <w:rPr>
          <w:rFonts w:hint="default" w:ascii="Times New Roman" w:hAnsi="Times New Roman" w:cs="Times New Roman"/>
          <w:b w:val="0"/>
          <w:kern w:val="2"/>
          <w:sz w:val="32"/>
          <w:szCs w:val="32"/>
          <w:lang w:val="en-US" w:eastAsia="zh-CN" w:bidi="ar-SA"/>
        </w:rPr>
        <w:t>追加36万元，调减18.93</w:t>
      </w:r>
      <w:r>
        <w:rPr>
          <w:rFonts w:hint="default" w:ascii="Times New Roman" w:hAnsi="Times New Roman" w:eastAsia="仿宋_GB2312" w:cs="Times New Roman"/>
          <w:b w:val="0"/>
          <w:kern w:val="2"/>
          <w:sz w:val="32"/>
          <w:szCs w:val="32"/>
          <w:lang w:val="en-US" w:eastAsia="zh-CN" w:bidi="ar-SA"/>
        </w:rPr>
        <w:t>万元，调整预算数</w:t>
      </w:r>
      <w:r>
        <w:rPr>
          <w:rFonts w:hint="default" w:ascii="Times New Roman" w:hAnsi="Times New Roman" w:cs="Times New Roman"/>
          <w:b w:val="0"/>
          <w:kern w:val="2"/>
          <w:sz w:val="32"/>
          <w:szCs w:val="32"/>
          <w:lang w:val="en-US" w:eastAsia="zh-CN" w:bidi="ar-SA"/>
        </w:rPr>
        <w:t>77.93</w:t>
      </w:r>
      <w:r>
        <w:rPr>
          <w:rFonts w:hint="default" w:ascii="Times New Roman" w:hAnsi="Times New Roman" w:eastAsia="仿宋_GB2312" w:cs="Times New Roman"/>
          <w:b w:val="0"/>
          <w:kern w:val="2"/>
          <w:sz w:val="32"/>
          <w:szCs w:val="32"/>
          <w:lang w:val="en-US" w:eastAsia="zh-CN" w:bidi="ar-SA"/>
        </w:rPr>
        <w:t>万元，到位率100%，实际使用资金</w:t>
      </w:r>
      <w:r>
        <w:rPr>
          <w:rFonts w:hint="default" w:ascii="Times New Roman" w:hAnsi="Times New Roman" w:cs="Times New Roman"/>
          <w:b w:val="0"/>
          <w:kern w:val="2"/>
          <w:sz w:val="32"/>
          <w:szCs w:val="32"/>
          <w:lang w:val="en-US" w:eastAsia="zh-CN" w:bidi="ar-SA"/>
        </w:rPr>
        <w:t>77.93</w:t>
      </w:r>
      <w:r>
        <w:rPr>
          <w:rFonts w:hint="default" w:ascii="Times New Roman" w:hAnsi="Times New Roman" w:eastAsia="仿宋_GB2312" w:cs="Times New Roman"/>
          <w:b w:val="0"/>
          <w:kern w:val="2"/>
          <w:sz w:val="32"/>
          <w:szCs w:val="32"/>
          <w:lang w:val="en-US" w:eastAsia="zh-CN" w:bidi="ar-SA"/>
        </w:rPr>
        <w:t>万元，执行率100%。</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6.区财政局运行保障。2022年度昆明市呈贡区财政局运行保障项目</w:t>
      </w:r>
      <w:r>
        <w:rPr>
          <w:rFonts w:hint="default" w:ascii="Times New Roman" w:hAnsi="Times New Roman" w:eastAsia="仿宋_GB2312" w:cs="Times New Roman"/>
          <w:b w:val="0"/>
          <w:kern w:val="2"/>
          <w:sz w:val="32"/>
          <w:szCs w:val="32"/>
          <w:lang w:val="en-US" w:eastAsia="zh-CN" w:bidi="ar-SA"/>
        </w:rPr>
        <w:t>资金年初安排</w:t>
      </w:r>
      <w:r>
        <w:rPr>
          <w:rFonts w:hint="default" w:ascii="Times New Roman" w:hAnsi="Times New Roman" w:cs="Times New Roman"/>
          <w:b w:val="0"/>
          <w:kern w:val="2"/>
          <w:sz w:val="32"/>
          <w:szCs w:val="32"/>
          <w:lang w:val="en-US" w:eastAsia="zh-CN" w:bidi="ar-SA"/>
        </w:rPr>
        <w:t>60</w:t>
      </w:r>
      <w:r>
        <w:rPr>
          <w:rFonts w:hint="default" w:ascii="Times New Roman" w:hAnsi="Times New Roman" w:eastAsia="仿宋_GB2312" w:cs="Times New Roman"/>
          <w:b w:val="0"/>
          <w:kern w:val="2"/>
          <w:sz w:val="32"/>
          <w:szCs w:val="32"/>
          <w:lang w:val="en-US" w:eastAsia="zh-CN" w:bidi="ar-SA"/>
        </w:rPr>
        <w:t>万元，</w:t>
      </w:r>
      <w:r>
        <w:rPr>
          <w:rFonts w:hint="default" w:ascii="Times New Roman" w:hAnsi="Times New Roman" w:cs="Times New Roman"/>
          <w:b w:val="0"/>
          <w:kern w:val="2"/>
          <w:sz w:val="32"/>
          <w:szCs w:val="32"/>
          <w:lang w:val="en-US" w:eastAsia="zh-CN" w:bidi="ar-SA"/>
        </w:rPr>
        <w:t>调减16</w:t>
      </w:r>
      <w:r>
        <w:rPr>
          <w:rFonts w:hint="default" w:ascii="Times New Roman" w:hAnsi="Times New Roman" w:eastAsia="仿宋_GB2312" w:cs="Times New Roman"/>
          <w:b w:val="0"/>
          <w:kern w:val="2"/>
          <w:sz w:val="32"/>
          <w:szCs w:val="32"/>
          <w:lang w:val="en-US" w:eastAsia="zh-CN" w:bidi="ar-SA"/>
        </w:rPr>
        <w:t>万元，调整预算数</w:t>
      </w:r>
      <w:r>
        <w:rPr>
          <w:rFonts w:hint="default" w:ascii="Times New Roman" w:hAnsi="Times New Roman" w:cs="Times New Roman"/>
          <w:b w:val="0"/>
          <w:kern w:val="2"/>
          <w:sz w:val="32"/>
          <w:szCs w:val="32"/>
          <w:lang w:val="en-US" w:eastAsia="zh-CN" w:bidi="ar-SA"/>
        </w:rPr>
        <w:t>44</w:t>
      </w:r>
      <w:r>
        <w:rPr>
          <w:rFonts w:hint="default" w:ascii="Times New Roman" w:hAnsi="Times New Roman" w:eastAsia="仿宋_GB2312" w:cs="Times New Roman"/>
          <w:b w:val="0"/>
          <w:kern w:val="2"/>
          <w:sz w:val="32"/>
          <w:szCs w:val="32"/>
          <w:lang w:val="en-US" w:eastAsia="zh-CN" w:bidi="ar-SA"/>
        </w:rPr>
        <w:t>万元，到位率100%，实际使用资金</w:t>
      </w:r>
      <w:r>
        <w:rPr>
          <w:rFonts w:hint="default" w:ascii="Times New Roman" w:hAnsi="Times New Roman" w:cs="Times New Roman"/>
          <w:b w:val="0"/>
          <w:kern w:val="2"/>
          <w:sz w:val="32"/>
          <w:szCs w:val="32"/>
          <w:lang w:val="en-US" w:eastAsia="zh-CN" w:bidi="ar-SA"/>
        </w:rPr>
        <w:t>44</w:t>
      </w:r>
      <w:r>
        <w:rPr>
          <w:rFonts w:hint="default" w:ascii="Times New Roman" w:hAnsi="Times New Roman" w:eastAsia="仿宋_GB2312" w:cs="Times New Roman"/>
          <w:b w:val="0"/>
          <w:kern w:val="2"/>
          <w:sz w:val="32"/>
          <w:szCs w:val="32"/>
          <w:lang w:val="en-US" w:eastAsia="zh-CN" w:bidi="ar-SA"/>
        </w:rPr>
        <w:t>万元，执行率100%。</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7.</w:t>
      </w:r>
      <w:r>
        <w:rPr>
          <w:rFonts w:hint="default" w:ascii="Times New Roman" w:hAnsi="Times New Roman" w:eastAsia="仿宋_GB2312" w:cs="Times New Roman"/>
          <w:b w:val="0"/>
          <w:kern w:val="2"/>
          <w:sz w:val="32"/>
          <w:szCs w:val="32"/>
          <w:lang w:val="en-US" w:eastAsia="zh-CN" w:bidi="ar-SA"/>
        </w:rPr>
        <w:t>房屋出租管理</w:t>
      </w:r>
      <w:r>
        <w:rPr>
          <w:rFonts w:hint="default" w:ascii="Times New Roman" w:hAnsi="Times New Roman"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2022年度房屋出租管理项目资金年初安排1.77万元，无调整变动，到位率100%，实际使用资金1.77万元，执行率100%。</w:t>
      </w:r>
    </w:p>
    <w:p>
      <w:pPr>
        <w:keepNext w:val="0"/>
        <w:keepLines w:val="0"/>
        <w:pageBreakBefore w:val="0"/>
        <w:widowControl w:val="0"/>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项目资金的使用符合相关财务管理制度和规定，会计核算健全规范，做到了专款专用。及土地增值税清算审核项</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绩效管理。支出绩效重点评价（财政再评价），在单位自评的基础上，选取民生支出、重点项目和公共基础设施建设项目作为评价对象，并进行分组分类。通过政府购买服务方式，确定中介机构，按规定签订委托合同，并安排、组织开展重点绩效评价（财政再评价）工作。2021年12月底完成评价工作并形成评价报告；结合评价报告进行了反馈、督促整改及财政信息公开等工作，并形成财政专题报告报区人大、区政府。预算支出事前绩效评估，选取2022年预算申报中的项目，针对项目实施的相关性、项目预期绩效的可实现性、项目实施方案的有效性，项目预期绩效的可持续性等开展事前绩效评估，</w:t>
      </w:r>
      <w:r>
        <w:rPr>
          <w:rFonts w:hint="default" w:ascii="Times New Roman" w:hAnsi="Times New Roman" w:cs="Times New Roman"/>
          <w:sz w:val="32"/>
          <w:szCs w:val="32"/>
          <w:lang w:val="en-US" w:eastAsia="zh-CN"/>
        </w:rPr>
        <w:t>成立评估专家组</w:t>
      </w:r>
      <w:r>
        <w:rPr>
          <w:rFonts w:hint="default" w:ascii="Times New Roman" w:hAnsi="Times New Roman" w:cs="Times New Roman"/>
          <w:szCs w:val="32"/>
          <w:lang w:val="en-US" w:eastAsia="zh-CN"/>
        </w:rPr>
        <w:t>，邀请市财政、区人大、政协、纪委、审计作为专家组成员，于12月8日召开会议、现场评估，评估结果作为2022年项目资金安排的重要依据。</w:t>
      </w:r>
    </w:p>
    <w:p>
      <w:pPr>
        <w:keepNext w:val="0"/>
        <w:keepLines w:val="0"/>
        <w:pageBreakBefore w:val="0"/>
        <w:numPr>
          <w:ilvl w:val="0"/>
          <w:numId w:val="0"/>
        </w:numPr>
        <w:kinsoku/>
        <w:wordWrap/>
        <w:overflowPunct/>
        <w:autoSpaceDE/>
        <w:autoSpaceDN/>
        <w:bidi w:val="0"/>
        <w:adjustRightInd/>
        <w:snapToGrid/>
        <w:spacing w:line="600" w:lineRule="exact"/>
        <w:ind w:firstLine="594" w:firstLineChars="200"/>
        <w:jc w:val="lef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2.土地增值税清算。按照</w:t>
      </w:r>
      <w:r>
        <w:rPr>
          <w:rFonts w:hint="default" w:ascii="Times New Roman" w:hAnsi="Times New Roman" w:cs="Times New Roman"/>
          <w:sz w:val="28"/>
          <w:szCs w:val="28"/>
          <w:lang w:val="en-US" w:eastAsia="zh-CN"/>
        </w:rPr>
        <w:t>《</w:t>
      </w:r>
      <w:r>
        <w:rPr>
          <w:rFonts w:hint="default" w:ascii="Times New Roman" w:hAnsi="Times New Roman" w:cs="Times New Roman"/>
          <w:szCs w:val="32"/>
          <w:lang w:val="en-US" w:eastAsia="zh-CN"/>
        </w:rPr>
        <w:t>昆明市呈贡区税务局关于提请呈贡区财政局聘请中介机构对土地增值税清算提供劳务咨询的实施方案</w:t>
      </w:r>
      <w:r>
        <w:rPr>
          <w:rFonts w:hint="default" w:ascii="Times New Roman" w:hAnsi="Times New Roman" w:cs="Times New Roman"/>
          <w:sz w:val="28"/>
          <w:szCs w:val="28"/>
          <w:lang w:val="en-US" w:eastAsia="zh-CN"/>
        </w:rPr>
        <w:t>》</w:t>
      </w:r>
      <w:r>
        <w:rPr>
          <w:rFonts w:hint="default" w:ascii="Times New Roman" w:hAnsi="Times New Roman" w:cs="Times New Roman"/>
          <w:szCs w:val="32"/>
          <w:lang w:val="en-US" w:eastAsia="zh-CN"/>
        </w:rPr>
        <w:t>确定达到清算调减的项目及测算费用，委托中介机构核对纳税人土地增值税清算的相关</w:t>
      </w:r>
      <w:r>
        <w:rPr>
          <w:rFonts w:hint="default" w:ascii="Times New Roman" w:hAnsi="Times New Roman" w:eastAsia="仿宋_GB2312" w:cs="Times New Roman"/>
          <w:sz w:val="32"/>
          <w:szCs w:val="32"/>
        </w:rPr>
        <w:t>账薄、凭证、发票，合同、结算书，付款凭据，税款缴纳及其他相关资料的收集整理，项目的清算单位分期、分类、成本费用分摊、面积、清算申报的收入、扣除项目金额、增值额、增值率及税款计算，将整理及发现的问题报送税务机关</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after="0" w:line="600" w:lineRule="exact"/>
        <w:ind w:left="0" w:leftChars="0" w:right="0" w:rightChars="0" w:firstLine="59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b w:val="0"/>
          <w:kern w:val="2"/>
          <w:sz w:val="32"/>
          <w:szCs w:val="32"/>
          <w:lang w:val="en-US" w:eastAsia="zh-CN" w:bidi="ar-SA"/>
        </w:rPr>
        <w:t>3.</w:t>
      </w:r>
      <w:r>
        <w:rPr>
          <w:rFonts w:hint="default" w:ascii="Times New Roman" w:hAnsi="Times New Roman" w:eastAsia="仿宋_GB2312" w:cs="Times New Roman"/>
          <w:b w:val="0"/>
          <w:kern w:val="2"/>
          <w:sz w:val="32"/>
          <w:szCs w:val="32"/>
          <w:lang w:val="en-US" w:eastAsia="zh-CN" w:bidi="ar-SA"/>
        </w:rPr>
        <w:t>党政机关及事业单位国有资产清理清查</w:t>
      </w:r>
      <w:r>
        <w:rPr>
          <w:rFonts w:hint="default" w:ascii="Times New Roman" w:hAnsi="Times New Roman" w:cs="Times New Roman"/>
          <w:b w:val="0"/>
          <w:kern w:val="2"/>
          <w:sz w:val="32"/>
          <w:szCs w:val="32"/>
          <w:lang w:val="en-US" w:eastAsia="zh-CN" w:bidi="ar-SA"/>
        </w:rPr>
        <w:t>。按照《呈贡区区属党政机关及事业单位国有资产清理清查工作方案》，2021年委托</w:t>
      </w:r>
      <w:r>
        <w:rPr>
          <w:rFonts w:hint="default" w:ascii="Times New Roman" w:hAnsi="Times New Roman" w:eastAsia="仿宋_GB2312" w:cs="Times New Roman"/>
          <w:sz w:val="32"/>
          <w:szCs w:val="32"/>
        </w:rPr>
        <w:t>昆明博扬会计师事务所有限公司为本次昆明市呈贡区区属党政机关及事业单位国有资产清理清查工作</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按照合同约定，</w:t>
      </w:r>
      <w:r>
        <w:rPr>
          <w:rFonts w:hint="default" w:ascii="Times New Roman" w:hAnsi="Times New Roman" w:cs="Times New Roman"/>
          <w:sz w:val="32"/>
          <w:szCs w:val="32"/>
          <w:lang w:val="en-US" w:eastAsia="zh-CN"/>
        </w:rPr>
        <w:t>2021年</w:t>
      </w:r>
      <w:r>
        <w:rPr>
          <w:rFonts w:hint="default" w:ascii="Times New Roman" w:hAnsi="Times New Roman" w:eastAsia="仿宋_GB2312" w:cs="Times New Roman"/>
          <w:sz w:val="32"/>
          <w:szCs w:val="32"/>
        </w:rPr>
        <w:t>支付昆明博扬会计师事务所清查费用的60%，即11</w:t>
      </w:r>
      <w:r>
        <w:rPr>
          <w:rFonts w:hint="default" w:ascii="Times New Roman" w:hAnsi="Times New Roman" w:cs="Times New Roman"/>
          <w:sz w:val="32"/>
          <w:szCs w:val="32"/>
          <w:lang w:val="en-US" w:eastAsia="zh-CN"/>
        </w:rPr>
        <w:t>.4万</w:t>
      </w:r>
      <w:r>
        <w:rPr>
          <w:rFonts w:hint="default" w:ascii="Times New Roman" w:hAnsi="Times New Roman" w:eastAsia="仿宋_GB2312" w:cs="Times New Roman"/>
          <w:sz w:val="32"/>
          <w:szCs w:val="32"/>
        </w:rPr>
        <w:t>元</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2022年资产清查工作实地核实全部结束，提交了完整的资产清理清查综合报告并验收合格，按照合同约定，支付剩余的费用40%，即7.6万元。</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仿宋_GB2312" w:cs="Times New Roman"/>
          <w:color w:val="auto"/>
          <w:szCs w:val="32"/>
          <w:lang w:val="en-US"/>
        </w:rPr>
      </w:pPr>
      <w:r>
        <w:rPr>
          <w:rFonts w:hint="default" w:ascii="Times New Roman" w:hAnsi="Times New Roman" w:cs="Times New Roman"/>
          <w:b w:val="0"/>
          <w:color w:val="auto"/>
          <w:kern w:val="2"/>
          <w:sz w:val="32"/>
          <w:szCs w:val="32"/>
          <w:lang w:val="en-US" w:eastAsia="zh-CN" w:bidi="ar-SA"/>
        </w:rPr>
        <w:t>4.</w:t>
      </w:r>
      <w:r>
        <w:rPr>
          <w:rFonts w:hint="default" w:ascii="Times New Roman" w:hAnsi="Times New Roman" w:eastAsia="仿宋_GB2312" w:cs="Times New Roman"/>
          <w:b w:val="0"/>
          <w:color w:val="auto"/>
          <w:kern w:val="2"/>
          <w:sz w:val="32"/>
          <w:szCs w:val="32"/>
          <w:lang w:val="en-US" w:eastAsia="zh-CN" w:bidi="ar-SA"/>
        </w:rPr>
        <w:t>市政特种专业技术车辆评估服务</w:t>
      </w:r>
      <w:r>
        <w:rPr>
          <w:rFonts w:hint="default" w:ascii="Times New Roman" w:hAnsi="Times New Roman" w:cs="Times New Roman"/>
          <w:b w:val="0"/>
          <w:color w:val="auto"/>
          <w:kern w:val="2"/>
          <w:sz w:val="32"/>
          <w:szCs w:val="32"/>
          <w:lang w:val="en-US" w:eastAsia="zh-CN" w:bidi="ar-SA"/>
        </w:rPr>
        <w:t>。按照相关要求，为盘活国有资产，充分发挥呈贡区市政特种专业技术车辆的效益，由区财政局牵头摸清区城市管理局计划移交管理使用的156辆市政特种专业技术车辆的性能、车辆、价值等详细情进行评估，并于5月中旬前形成专报报区政府研究。</w:t>
      </w:r>
    </w:p>
    <w:p>
      <w:pPr>
        <w:keepNext w:val="0"/>
        <w:keepLines w:val="0"/>
        <w:pageBreakBefore w:val="0"/>
        <w:widowControl w:val="0"/>
        <w:kinsoku/>
        <w:wordWrap/>
        <w:overflowPunct/>
        <w:topLinePunct/>
        <w:autoSpaceDE/>
        <w:autoSpaceDN/>
        <w:bidi w:val="0"/>
        <w:adjustRightInd/>
        <w:snapToGrid/>
        <w:spacing w:after="0" w:line="600" w:lineRule="exact"/>
        <w:ind w:left="0" w:leftChars="0" w:right="0" w:rightChars="0" w:firstLine="594" w:firstLineChars="200"/>
        <w:jc w:val="both"/>
        <w:textAlignment w:val="auto"/>
        <w:outlineLvl w:val="9"/>
        <w:rPr>
          <w:rFonts w:hint="default" w:ascii="Times New Roman" w:hAnsi="Times New Roman" w:cs="Times New Roman"/>
          <w:b w:val="0"/>
          <w:kern w:val="2"/>
          <w:sz w:val="32"/>
          <w:szCs w:val="32"/>
          <w:lang w:val="en-US" w:eastAsia="zh-CN" w:bidi="ar-SA"/>
        </w:rPr>
      </w:pPr>
      <w:r>
        <w:rPr>
          <w:rFonts w:hint="default" w:ascii="Times New Roman" w:hAnsi="Times New Roman" w:cs="Times New Roman"/>
          <w:b w:val="0"/>
          <w:kern w:val="2"/>
          <w:sz w:val="32"/>
          <w:szCs w:val="32"/>
          <w:lang w:val="en-US" w:eastAsia="zh-CN" w:bidi="ar-SA"/>
        </w:rPr>
        <w:t>5.</w:t>
      </w:r>
      <w:r>
        <w:rPr>
          <w:rFonts w:hint="default" w:ascii="Times New Roman" w:hAnsi="Times New Roman" w:eastAsia="仿宋_GB2312" w:cs="Times New Roman"/>
          <w:b w:val="0"/>
          <w:kern w:val="2"/>
          <w:sz w:val="32"/>
          <w:szCs w:val="32"/>
          <w:lang w:val="en-US" w:eastAsia="zh-CN" w:bidi="ar-SA"/>
        </w:rPr>
        <w:t>财政管理相关系统运行维护</w:t>
      </w:r>
      <w:r>
        <w:rPr>
          <w:rFonts w:hint="default" w:ascii="Times New Roman" w:hAnsi="Times New Roman" w:cs="Times New Roman"/>
          <w:b w:val="0"/>
          <w:kern w:val="2"/>
          <w:sz w:val="32"/>
          <w:szCs w:val="32"/>
          <w:lang w:val="en-US" w:eastAsia="zh-CN" w:bidi="ar-SA"/>
        </w:rPr>
        <w:t>。按照上级工作要求，结合区财政局工作实际，不断推进财政电子化进程。2022年支付预算管理一体化系统推广费用，并支付</w:t>
      </w:r>
      <w:r>
        <w:rPr>
          <w:rFonts w:hint="default" w:ascii="Times New Roman" w:hAnsi="Times New Roman" w:eastAsia="仿宋_GB2312" w:cs="Times New Roman"/>
          <w:color w:val="auto"/>
          <w:sz w:val="32"/>
          <w:szCs w:val="32"/>
          <w:lang w:val="en-US" w:eastAsia="zh-CN"/>
        </w:rPr>
        <w:t>政府采购管理信息系统</w:t>
      </w:r>
      <w:r>
        <w:rPr>
          <w:rFonts w:hint="default" w:ascii="Times New Roman" w:hAnsi="Times New Roman" w:cs="Times New Roman"/>
          <w:color w:val="auto"/>
          <w:sz w:val="32"/>
          <w:szCs w:val="32"/>
          <w:lang w:val="en-US" w:eastAsia="zh-CN"/>
        </w:rPr>
        <w:t>服务费，票据软件服务费,电子卖场政采云服务费,公务卡电子化系统服务费,</w:t>
      </w:r>
      <w:r>
        <w:rPr>
          <w:rFonts w:hint="default" w:ascii="Times New Roman" w:hAnsi="Times New Roman" w:eastAsia="仿宋_GB2312" w:cs="Times New Roman"/>
          <w:color w:val="auto"/>
          <w:sz w:val="32"/>
          <w:szCs w:val="32"/>
          <w:lang w:val="en-US" w:eastAsia="zh-CN"/>
        </w:rPr>
        <w:t>公务之家服务费</w:t>
      </w:r>
      <w:r>
        <w:rPr>
          <w:rFonts w:hint="default" w:ascii="Times New Roman" w:hAnsi="Times New Roman" w:cs="Times New Roman"/>
          <w:color w:val="auto"/>
          <w:sz w:val="32"/>
          <w:szCs w:val="32"/>
          <w:lang w:val="en-US" w:eastAsia="zh-CN"/>
        </w:rPr>
        <w:t>，以及其他软件服务费，确保财政管理相关系统正常运行，保障财政各项工作顺利推进。</w:t>
      </w:r>
    </w:p>
    <w:p>
      <w:pPr>
        <w:keepNext w:val="0"/>
        <w:keepLines w:val="0"/>
        <w:pageBreakBefore w:val="0"/>
        <w:widowControl w:val="0"/>
        <w:kinsoku/>
        <w:wordWrap/>
        <w:overflowPunct/>
        <w:topLinePunct/>
        <w:autoSpaceDE/>
        <w:autoSpaceDN/>
        <w:bidi w:val="0"/>
        <w:adjustRightInd/>
        <w:snapToGrid/>
        <w:spacing w:after="0" w:line="600" w:lineRule="exact"/>
        <w:ind w:left="0" w:leftChars="0" w:right="0" w:rightChars="0" w:firstLine="594"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b w:val="0"/>
          <w:kern w:val="2"/>
          <w:sz w:val="32"/>
          <w:szCs w:val="32"/>
          <w:lang w:val="en-US" w:eastAsia="zh-CN" w:bidi="ar-SA"/>
        </w:rPr>
        <w:t>6.区财政局运行保障。按照上级安排部署，结合我局工作实际，支付水电费、邮电费、物业服务费等，购买各类办公用品，</w:t>
      </w:r>
      <w:r>
        <w:rPr>
          <w:rFonts w:hint="default" w:ascii="Times New Roman" w:hAnsi="Times New Roman" w:cs="Times New Roman"/>
          <w:color w:val="auto"/>
          <w:sz w:val="32"/>
          <w:szCs w:val="32"/>
          <w:lang w:val="en-US" w:eastAsia="zh-CN"/>
        </w:rPr>
        <w:t>确保我局各项工作正常开展。2022年，我局及时支付各类机关运转保障经费，购买各类刚需的办公用品，各项保障工作顺利开展。</w:t>
      </w:r>
    </w:p>
    <w:p>
      <w:pPr>
        <w:keepNext w:val="0"/>
        <w:keepLines w:val="0"/>
        <w:pageBreakBefore w:val="0"/>
        <w:widowControl w:val="0"/>
        <w:kinsoku/>
        <w:wordWrap/>
        <w:overflowPunct/>
        <w:topLinePunct/>
        <w:autoSpaceDE/>
        <w:autoSpaceDN/>
        <w:bidi w:val="0"/>
        <w:adjustRightInd/>
        <w:snapToGrid/>
        <w:spacing w:after="0" w:line="600" w:lineRule="exact"/>
        <w:ind w:left="0" w:leftChars="0" w:right="0" w:rightChars="0" w:firstLine="594"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7.房屋出租管理。主要用于涉及呈贡区财政局房屋的修缮，设施的更新等费用。</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1.项目经济性分析</w:t>
      </w:r>
    </w:p>
    <w:p>
      <w:pPr>
        <w:keepNext w:val="0"/>
        <w:keepLines w:val="0"/>
        <w:pageBreakBefore w:val="0"/>
        <w:kinsoku/>
        <w:wordWrap/>
        <w:overflowPunct/>
        <w:autoSpaceDE/>
        <w:autoSpaceDN/>
        <w:bidi w:val="0"/>
        <w:adjustRightInd/>
        <w:snapToGrid/>
        <w:spacing w:line="600" w:lineRule="exact"/>
        <w:ind w:firstLine="594"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22</w:t>
      </w:r>
      <w:r>
        <w:rPr>
          <w:rFonts w:hint="default" w:ascii="Times New Roman" w:hAnsi="Times New Roman" w:cs="Times New Roman"/>
          <w:sz w:val="32"/>
          <w:szCs w:val="32"/>
        </w:rPr>
        <w:t>年</w:t>
      </w:r>
      <w:r>
        <w:rPr>
          <w:rFonts w:hint="default" w:ascii="Times New Roman" w:hAnsi="Times New Roman" w:cs="Times New Roman"/>
          <w:sz w:val="32"/>
          <w:szCs w:val="32"/>
          <w:lang w:eastAsia="zh-CN"/>
        </w:rPr>
        <w:t>面对严峻的经济形势和税收下降压力，区财政局厉行节俭，牢固树立“过紧日子”思想，进一步压缩财政支出，减少不必要的支出，将有限的财政资金用于各类刚需项目支出，坚决杜绝资金的留滞和浪费。严格按照预算安排及工作进度进行计划申请，提高预算执行的科学性、合理性，及时根据单位实际情况和人员情况，提高财政管理的科学化和精细化水平，预算项目绩效经济性较好。</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2.项目的效率性分析</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2022年，我局财政预算工作顺利开展，严格按照财政部门相关工作要求，按时按质完成预决算公开，2023年预算编制，</w:t>
      </w:r>
      <w:r>
        <w:rPr>
          <w:rFonts w:hint="default" w:ascii="Times New Roman" w:hAnsi="Times New Roman" w:cs="Times New Roman"/>
          <w:sz w:val="32"/>
          <w:szCs w:val="32"/>
        </w:rPr>
        <w:t>完成预算绩效目标评价工作并形成评价报告</w:t>
      </w:r>
      <w:r>
        <w:rPr>
          <w:rFonts w:hint="default" w:ascii="Times New Roman" w:hAnsi="Times New Roman" w:cs="Times New Roman"/>
          <w:sz w:val="32"/>
          <w:szCs w:val="32"/>
          <w:lang w:eastAsia="zh-CN"/>
        </w:rPr>
        <w:t>，</w:t>
      </w:r>
      <w:r>
        <w:rPr>
          <w:rFonts w:hint="default" w:ascii="Times New Roman" w:hAnsi="Times New Roman" w:cs="Times New Roman"/>
          <w:sz w:val="32"/>
          <w:szCs w:val="32"/>
        </w:rPr>
        <w:t>结合评价报告进行了反馈、督促整改及信息公开等工作</w:t>
      </w:r>
      <w:r>
        <w:rPr>
          <w:rFonts w:hint="default" w:ascii="Times New Roman" w:hAnsi="Times New Roman" w:cs="Times New Roman"/>
          <w:sz w:val="32"/>
          <w:szCs w:val="32"/>
          <w:lang w:eastAsia="zh-CN"/>
        </w:rPr>
        <w:t>。在预算执行方面，严格按照财政部门的要求，及时追加或调减各项预算指标，及时支付相关财政资金</w:t>
      </w:r>
      <w:r>
        <w:rPr>
          <w:rFonts w:hint="default" w:ascii="Times New Roman" w:hAnsi="Times New Roman" w:cs="Times New Roman"/>
          <w:sz w:val="32"/>
          <w:szCs w:val="32"/>
        </w:rPr>
        <w:t>。</w:t>
      </w:r>
      <w:r>
        <w:rPr>
          <w:rFonts w:hint="default" w:ascii="Times New Roman" w:hAnsi="Times New Roman" w:cs="Times New Roman"/>
          <w:sz w:val="32"/>
          <w:szCs w:val="32"/>
          <w:lang w:eastAsia="zh-CN"/>
        </w:rPr>
        <w:t>因此，</w:t>
      </w:r>
      <w:r>
        <w:rPr>
          <w:rFonts w:hint="default" w:ascii="Times New Roman" w:hAnsi="Times New Roman" w:cs="Times New Roman"/>
          <w:sz w:val="32"/>
          <w:szCs w:val="32"/>
          <w:lang w:val="en-US" w:eastAsia="zh-CN"/>
        </w:rPr>
        <w:t>2022年我局项目绩效的效率性较好。</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3.项目的效益性分析</w:t>
      </w:r>
    </w:p>
    <w:p>
      <w:pPr>
        <w:keepNext w:val="0"/>
        <w:keepLines w:val="0"/>
        <w:pageBreakBefore w:val="0"/>
        <w:kinsoku/>
        <w:wordWrap/>
        <w:overflowPunct/>
        <w:autoSpaceDE/>
        <w:autoSpaceDN/>
        <w:bidi w:val="0"/>
        <w:adjustRightInd/>
        <w:snapToGrid/>
        <w:spacing w:line="600" w:lineRule="exact"/>
        <w:ind w:firstLine="594"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有序开展绩效管理工作。按市级、区委区政府要求，继续实施预算绩效管理工作年度考核，年初进一步修改完善了预算绩效管理考核内容、细化分解了考核事项,明确要求各职能部门从年初就抓紧抓实此项工作。利用</w:t>
      </w:r>
      <w:r>
        <w:rPr>
          <w:rFonts w:hint="default" w:ascii="Times New Roman" w:hAnsi="Times New Roman" w:cs="Times New Roman"/>
          <w:sz w:val="32"/>
          <w:szCs w:val="32"/>
          <w:lang w:eastAsia="zh-CN"/>
        </w:rPr>
        <w:t>“</w:t>
      </w:r>
      <w:r>
        <w:rPr>
          <w:rFonts w:hint="default" w:ascii="Times New Roman" w:hAnsi="Times New Roman" w:cs="Times New Roman"/>
          <w:sz w:val="32"/>
          <w:szCs w:val="32"/>
        </w:rPr>
        <w:t>财政管理信息系统</w:t>
      </w:r>
      <w:r>
        <w:rPr>
          <w:rFonts w:hint="default" w:ascii="Times New Roman" w:hAnsi="Times New Roman" w:cs="Times New Roman"/>
          <w:sz w:val="32"/>
          <w:szCs w:val="32"/>
          <w:lang w:eastAsia="zh-CN"/>
        </w:rPr>
        <w:t>”</w:t>
      </w:r>
      <w:r>
        <w:rPr>
          <w:rFonts w:hint="default" w:ascii="Times New Roman" w:hAnsi="Times New Roman" w:cs="Times New Roman"/>
          <w:sz w:val="32"/>
          <w:szCs w:val="32"/>
        </w:rPr>
        <w:t>在申报部门预算时将全区所有预算单位整体支出绩效目标纳入申报范围，严格按程序审核批复各预算单位整体支出绩效目标和项目绩效目标，减少了预算编制中存在的“海报项目、盲目请款”现象。</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4.项目可持续性分析</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2022年，我局项目支出都是刚性支出，且大部分都是连续性项目支出，例如绩效管理、财政管理相关系统运行维护、机关运行保障等事项。这些项目的顺利开展，确保了相关工作的延续性，项目可持续性得到保障。</w:t>
      </w:r>
    </w:p>
    <w:p>
      <w:pPr>
        <w:keepNext w:val="0"/>
        <w:keepLines w:val="0"/>
        <w:pageBreakBefore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 w:val="32"/>
          <w:szCs w:val="32"/>
        </w:rPr>
        <w:t>项目资金预算不够完整，细化，部分资金未列入</w:t>
      </w:r>
      <w:r>
        <w:rPr>
          <w:rFonts w:hint="default" w:ascii="Times New Roman" w:hAnsi="Times New Roman" w:cs="Times New Roman"/>
          <w:sz w:val="32"/>
          <w:szCs w:val="32"/>
          <w:lang w:eastAsia="zh-CN"/>
        </w:rPr>
        <w:t>年初</w:t>
      </w:r>
      <w:r>
        <w:rPr>
          <w:rFonts w:hint="default" w:ascii="Times New Roman" w:hAnsi="Times New Roman" w:cs="Times New Roman"/>
          <w:sz w:val="32"/>
          <w:szCs w:val="32"/>
        </w:rPr>
        <w:t>预算</w:t>
      </w:r>
      <w:r>
        <w:rPr>
          <w:rFonts w:hint="default" w:ascii="Times New Roman" w:hAnsi="Times New Roman" w:cs="Times New Roman"/>
          <w:sz w:val="32"/>
          <w:szCs w:val="32"/>
          <w:lang w:eastAsia="zh-CN"/>
        </w:rPr>
        <w:t>，部分资金实际支出金额与预算批复金额存在差异，准确性有待提高。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（一）后续工作计划</w:t>
      </w:r>
    </w:p>
    <w:p>
      <w:pPr>
        <w:keepNext w:val="0"/>
        <w:keepLines w:val="0"/>
        <w:pageBreakBefore w:val="0"/>
        <w:widowControl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严格按照年初预算批复事项，扎实开展各项工作，严格按照时序支付资金，提高预算执行效率和质量。扎实做好下一年预算编制工作，进一步提高预算编制的全面性、科学性、准确性。</w:t>
      </w:r>
    </w:p>
    <w:p>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（二）主要经验做法、改进措施和有关建议等</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 w:val="32"/>
          <w:szCs w:val="32"/>
        </w:rPr>
        <w:t>预算的合理性是行政事业单位内部控制的精髓，应重视部门预算，增强预算控制，充分发挥预算控制在内部控制中的作用。建议</w:t>
      </w:r>
      <w:r>
        <w:rPr>
          <w:rFonts w:hint="default" w:ascii="Times New Roman" w:hAnsi="Times New Roman" w:cs="Times New Roman"/>
          <w:szCs w:val="32"/>
          <w:lang w:val="en-US" w:eastAsia="zh-CN"/>
        </w:rPr>
        <w:t>区财政部门加大对预算编制相关工作培训力度，使预算部门在编制部门预算时能较好地根据单位年度计划，结合财政部门预算安排情况，科学设定项目经费支出绩效目标，提高预算与实际的吻合度。</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cs="Times New Roman"/>
          <w:szCs w:val="32"/>
          <w:lang w:val="en-US" w:eastAsia="zh-CN"/>
        </w:rPr>
      </w:pP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cs="Times New Roman"/>
          <w:szCs w:val="32"/>
          <w:lang w:val="en-US" w:eastAsia="zh-CN"/>
        </w:rPr>
      </w:pPr>
    </w:p>
    <w:p>
      <w:pPr>
        <w:keepNext w:val="0"/>
        <w:keepLines w:val="0"/>
        <w:pageBreakBefore w:val="0"/>
        <w:kinsoku/>
        <w:wordWrap/>
        <w:overflowPunct/>
        <w:topLinePunct/>
        <w:autoSpaceDE/>
        <w:autoSpaceDN/>
        <w:bidi w:val="0"/>
        <w:adjustRightInd/>
        <w:snapToGrid/>
        <w:spacing w:line="600" w:lineRule="exact"/>
        <w:ind w:firstLine="4455" w:firstLineChars="15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昆明市呈贡区财政局</w:t>
      </w:r>
    </w:p>
    <w:p>
      <w:pPr>
        <w:keepNext w:val="0"/>
        <w:keepLines w:val="0"/>
        <w:pageBreakBefore w:val="0"/>
        <w:kinsoku/>
        <w:wordWrap/>
        <w:overflowPunct/>
        <w:topLinePunct/>
        <w:autoSpaceDE/>
        <w:autoSpaceDN/>
        <w:bidi w:val="0"/>
        <w:adjustRightInd/>
        <w:snapToGrid/>
        <w:spacing w:line="600" w:lineRule="exact"/>
        <w:ind w:firstLine="4752" w:firstLineChars="16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2023年4月7日</w:t>
      </w:r>
    </w:p>
    <w:p>
      <w:pPr>
        <w:topLinePunct/>
        <w:ind w:firstLine="594" w:firstLineChars="200"/>
        <w:jc w:val="both"/>
        <w:rPr>
          <w:rFonts w:hint="default" w:ascii="Times New Roman" w:hAnsi="Times New Roman" w:cs="Times New Roman"/>
          <w:szCs w:val="3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5E60DB9"/>
    <w:rsid w:val="139F17AF"/>
    <w:rsid w:val="162D4308"/>
    <w:rsid w:val="28403912"/>
    <w:rsid w:val="2CE960BE"/>
    <w:rsid w:val="378A5996"/>
    <w:rsid w:val="446B7A14"/>
    <w:rsid w:val="4CA923E4"/>
    <w:rsid w:val="54290C37"/>
    <w:rsid w:val="5A3C6978"/>
    <w:rsid w:val="5F037E6E"/>
    <w:rsid w:val="608D2984"/>
    <w:rsid w:val="611B11CA"/>
    <w:rsid w:val="63E14299"/>
    <w:rsid w:val="67600811"/>
    <w:rsid w:val="676E5A52"/>
    <w:rsid w:val="6F6C1FC0"/>
    <w:rsid w:val="719F72D3"/>
    <w:rsid w:val="74CA51A1"/>
    <w:rsid w:val="75F536C4"/>
    <w:rsid w:val="76324F73"/>
    <w:rsid w:val="7FC6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2023-04-13T06:41:13Z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