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pPr>
      <w:r>
        <w:rPr>
          <w:rFonts w:hint="eastAsia"/>
        </w:rPr>
        <w:t>附件</w:t>
      </w:r>
      <w:r>
        <w:rPr>
          <w:rFonts w:hint="eastAsia"/>
          <w:lang w:val="en-US" w:eastAsia="zh-CN"/>
        </w:rPr>
        <w:t>4-2</w:t>
      </w:r>
      <w:r>
        <w:t>:</w:t>
      </w:r>
    </w:p>
    <w:p>
      <w:pPr>
        <w:spacing w:line="600" w:lineRule="exact"/>
        <w:jc w:val="center"/>
        <w:rPr>
          <w:rFonts w:ascii="方正小标宋_GBK" w:eastAsia="方正小标宋_GBK"/>
          <w:sz w:val="44"/>
          <w:szCs w:val="44"/>
        </w:rPr>
      </w:pPr>
      <w:r>
        <w:rPr>
          <w:rFonts w:hint="eastAsia" w:ascii="方正小标宋_GBK" w:eastAsia="方正小标宋_GBK"/>
          <w:sz w:val="44"/>
          <w:szCs w:val="44"/>
          <w:lang w:val="en-US" w:eastAsia="zh-CN"/>
        </w:rPr>
        <w:t>昆明高新技术产业开发区第四小学校舍安全隐患</w:t>
      </w:r>
      <w:r>
        <w:rPr>
          <w:rFonts w:hint="eastAsia" w:ascii="方正小标宋_GBK" w:eastAsia="方正小标宋_GBK"/>
          <w:sz w:val="44"/>
          <w:szCs w:val="44"/>
        </w:rPr>
        <w:t>项目支出绩效报告</w:t>
      </w:r>
      <w:r>
        <w:rPr>
          <w:rFonts w:hint="eastAsia" w:ascii="方正小标宋_GBK" w:eastAsia="方正小标宋_GBK"/>
          <w:sz w:val="44"/>
          <w:szCs w:val="44"/>
          <w:lang w:eastAsia="zh-CN"/>
        </w:rPr>
        <w:t>（自评）</w:t>
      </w:r>
    </w:p>
    <w:p>
      <w:pPr>
        <w:spacing w:line="600" w:lineRule="exact"/>
        <w:ind w:firstLine="834" w:firstLineChars="200"/>
        <w:rPr>
          <w:rFonts w:ascii="仿宋_GB2312"/>
          <w:b/>
          <w:sz w:val="44"/>
          <w:szCs w:val="44"/>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（一）项目基本情况简介</w:t>
      </w:r>
    </w:p>
    <w:p>
      <w:pPr>
        <w:topLinePunct/>
        <w:ind w:firstLine="594" w:firstLineChars="200"/>
        <w:rPr>
          <w:rFonts w:hint="default" w:ascii="仿宋_GB2312"/>
          <w:szCs w:val="32"/>
          <w:lang w:val="en-US" w:eastAsia="zh-CN"/>
        </w:rPr>
      </w:pPr>
      <w:r>
        <w:rPr>
          <w:rFonts w:hint="eastAsia" w:ascii="仿宋_GB2312" w:hAnsi="仿宋_GB2312" w:eastAsia="仿宋_GB2312" w:cs="仿宋_GB2312"/>
          <w:sz w:val="32"/>
          <w:szCs w:val="32"/>
          <w:lang w:val="en-US" w:eastAsia="zh-CN"/>
        </w:rPr>
        <w:t>昆明高新技术产业开发区第四小学</w:t>
      </w:r>
      <w:r>
        <w:rPr>
          <w:rFonts w:hint="eastAsia" w:ascii="仿宋_GB2312"/>
          <w:szCs w:val="32"/>
          <w:lang w:val="en-US" w:eastAsia="zh-CN"/>
        </w:rPr>
        <w:t xml:space="preserve">为财政全额拨款事业单位，办园规模56个教学班，现有教职工160人，在校学生2637人。设有党政综合办公室、教科研室、德育处、总务处、安全保卫科、学生食堂、寄宿生宿舍等。因呈贡区教体局在开展校园安全检查中发现高新四校存在严重的安全隐患，经上报高新区管委会纳入2020年维修计划，预算总计约487.36万元，按合同约定2020年已支付施工方199.39万元，2021年呈贡区财政安排我校校舍安全隐患问题整改设计尾款项目专项资金287.97万元,为事业发展类项目。是延续性项目经费，主要用于解决校舍安全隐患问题，确保师生安全，保证学校各项教育教学的正常开展和校园的全面发展。 </w:t>
      </w:r>
    </w:p>
    <w:p>
      <w:pPr>
        <w:numPr>
          <w:ilvl w:val="0"/>
          <w:numId w:val="1"/>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topLinePunct/>
        <w:ind w:firstLine="594" w:firstLineChars="200"/>
        <w:rPr>
          <w:rFonts w:hint="default" w:ascii="仿宋_GB2312"/>
          <w:szCs w:val="32"/>
          <w:lang w:val="en-US" w:eastAsia="zh-CN"/>
        </w:rPr>
      </w:pPr>
      <w:r>
        <w:rPr>
          <w:rFonts w:hint="eastAsia" w:ascii="仿宋_GB2312"/>
          <w:szCs w:val="32"/>
          <w:lang w:val="en-US" w:eastAsia="zh-CN"/>
        </w:rPr>
        <w:t>项目绩效目标为：完成运动场、</w:t>
      </w:r>
      <w:r>
        <w:rPr>
          <w:rFonts w:hint="eastAsia" w:ascii="仿宋_GB2312"/>
          <w:color w:val="auto"/>
          <w:szCs w:val="32"/>
          <w:lang w:val="en-US" w:eastAsia="zh-CN"/>
        </w:rPr>
        <w:t>学校围栏、大礼堂、消防管网</w:t>
      </w:r>
      <w:r>
        <w:rPr>
          <w:rFonts w:hint="eastAsia" w:ascii="仿宋_GB2312"/>
          <w:szCs w:val="32"/>
          <w:lang w:val="en-US" w:eastAsia="zh-CN"/>
        </w:rPr>
        <w:t xml:space="preserve">安全隐患整改，确保师生安全，解决校舍安全隐患问题，确保师生安全，保证学校各项教育教学的正常开展和校园的全面发展。 </w:t>
      </w:r>
    </w:p>
    <w:p>
      <w:pPr>
        <w:topLinePunct/>
        <w:ind w:firstLine="594" w:firstLineChars="200"/>
        <w:rPr>
          <w:rFonts w:hint="eastAsia" w:ascii="仿宋_GB2312"/>
          <w:szCs w:val="32"/>
          <w:lang w:val="en-US" w:eastAsia="zh-CN"/>
        </w:rPr>
      </w:pPr>
      <w:r>
        <w:rPr>
          <w:rFonts w:hint="eastAsia" w:ascii="仿宋_GB2312"/>
          <w:szCs w:val="32"/>
          <w:lang w:val="en-US" w:eastAsia="zh-CN"/>
        </w:rPr>
        <w:t xml:space="preserve">指标完成情况：解决校舍安全隐患问题，确保师生安全，保证学校各项教育教学的正常开展和校园的全面发展。 </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default" w:ascii="仿宋_GB2312" w:hAnsi="仿宋_GB2312" w:eastAsia="仿宋_GB2312" w:cs="仿宋_GB2312"/>
          <w:szCs w:val="32"/>
          <w:lang w:val="en-US"/>
        </w:rPr>
      </w:pPr>
      <w:r>
        <w:rPr>
          <w:rFonts w:hint="eastAsia" w:ascii="仿宋_GB2312" w:hAnsi="仿宋_GB2312" w:cs="仿宋_GB2312"/>
          <w:szCs w:val="32"/>
          <w:lang w:val="en-US" w:eastAsia="zh-CN"/>
        </w:rPr>
        <w:t>2021年，呈贡区财政共安排我校项目资金</w:t>
      </w:r>
      <w:r>
        <w:rPr>
          <w:rFonts w:hint="eastAsia" w:ascii="仿宋_GB2312"/>
          <w:szCs w:val="32"/>
          <w:lang w:val="en-US" w:eastAsia="zh-CN"/>
        </w:rPr>
        <w:t>287.97万</w:t>
      </w:r>
      <w:r>
        <w:rPr>
          <w:rFonts w:hint="eastAsia" w:ascii="仿宋_GB2312" w:hAnsi="仿宋_GB2312" w:cs="仿宋_GB2312"/>
          <w:szCs w:val="32"/>
          <w:lang w:val="en-US" w:eastAsia="zh-CN"/>
        </w:rPr>
        <w:t>元， 支出286.89万元，结余1.08万元。 我校制定了《昆明高新技术产业开发区第四小学‘三重一大’制度》、《昆明高新技术产业开发区第四小学财务制度》等多项制度，项目的执行经党政联席会议讨论后决定。</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hAnsi="仿宋_GB2312" w:cs="仿宋_GB2312"/>
          <w:szCs w:val="32"/>
          <w:lang w:val="en-US" w:eastAsia="zh-CN"/>
        </w:rPr>
      </w:pPr>
      <w:r>
        <w:rPr>
          <w:rFonts w:hint="eastAsia" w:ascii="仿宋_GB2312" w:hAnsi="仿宋_GB2312" w:cs="仿宋_GB2312"/>
          <w:szCs w:val="32"/>
          <w:lang w:val="en-US" w:eastAsia="zh-CN"/>
        </w:rPr>
        <w:t>前期准备：成立项目实施工作领导小组、明确具体负责人、财务部门做好资金的管理和使用， 制定了《昆明高新技术产业开发区第四小学财务制度》、《昆明高新技术产业开发区第四小学财务人员职责》、切实有效地保证了财政资金专款专用。</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hAnsi="仿宋_GB2312" w:cs="仿宋_GB2312"/>
          <w:color w:val="auto"/>
          <w:szCs w:val="32"/>
          <w:lang w:val="en-US" w:eastAsia="zh-CN"/>
        </w:rPr>
      </w:pPr>
      <w:r>
        <w:rPr>
          <w:rFonts w:hint="eastAsia" w:ascii="仿宋_GB2312" w:hAnsi="仿宋_GB2312" w:cs="仿宋_GB2312"/>
          <w:szCs w:val="32"/>
          <w:lang w:val="en-US" w:eastAsia="zh-CN"/>
        </w:rPr>
        <w:t>招投标：预算批复及资金下达后，依据《中华人民共和国招标</w:t>
      </w:r>
      <w:bookmarkStart w:id="0" w:name="_GoBack"/>
      <w:bookmarkEnd w:id="0"/>
      <w:r>
        <w:rPr>
          <w:rFonts w:hint="eastAsia" w:ascii="仿宋_GB2312" w:hAnsi="仿宋_GB2312" w:cs="仿宋_GB2312"/>
          <w:szCs w:val="32"/>
          <w:lang w:val="en-US" w:eastAsia="zh-CN"/>
        </w:rPr>
        <w:t>投标法》等法律法规办理招投标手续，</w:t>
      </w:r>
      <w:r>
        <w:rPr>
          <w:rFonts w:hint="eastAsia" w:ascii="仿宋_GB2312" w:hAnsi="仿宋_GB2312" w:cs="仿宋_GB2312"/>
          <w:color w:val="auto"/>
          <w:szCs w:val="32"/>
          <w:lang w:val="en-US" w:eastAsia="zh-CN"/>
        </w:rPr>
        <w:t>招募云南华祥建设集团有限公司进行施工，通过招投标确定中金国际项目管理有限公司为监理方和造价方。施工结束组织相关人员进行验收，验收合格后，办理付款手续。</w:t>
      </w:r>
    </w:p>
    <w:p>
      <w:pPr>
        <w:numPr>
          <w:ilvl w:val="0"/>
          <w:numId w:val="0"/>
        </w:numPr>
        <w:topLinePunct/>
        <w:ind w:firstLine="594" w:firstLineChars="200"/>
        <w:rPr>
          <w:rFonts w:hint="default" w:ascii="仿宋_GB2312" w:hAnsi="仿宋_GB2312" w:eastAsia="仿宋_GB2312" w:cs="仿宋_GB2312"/>
          <w:szCs w:val="32"/>
          <w:lang w:val="en-US" w:eastAsia="zh-CN"/>
        </w:rPr>
      </w:pPr>
      <w:r>
        <w:rPr>
          <w:rFonts w:hint="eastAsia" w:ascii="仿宋_GB2312" w:hAnsi="仿宋_GB2312" w:cs="仿宋_GB2312"/>
          <w:szCs w:val="32"/>
          <w:lang w:val="en-US" w:eastAsia="zh-CN"/>
        </w:rPr>
        <w:t>项目管理情况：项目资金管理领导小组确定项目负责人，项目负责人对项目的立项、预算申请、招投标、合同签订、项目跟进等系列工作进行全程跟进及负责。严格执行《昆明高新技术产业开发区第四小学‘三重一大’制度》、《昆明高新技术产业开发区第四小学财务制度》等制度，资金按照合同约定，实际支付286.89元，结余1.08万元，</w:t>
      </w:r>
      <w:r>
        <w:rPr>
          <w:rFonts w:hint="eastAsia" w:ascii="仿宋_GB2312"/>
          <w:szCs w:val="32"/>
          <w:lang w:val="en-US" w:eastAsia="zh-CN"/>
        </w:rPr>
        <w:t>解决校舍安全隐患问题，确保师生安全，保证学校各项教育教学的正常开展和校园的全面发展。</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hAnsi="仿宋_GB2312" w:cs="仿宋_GB2312"/>
          <w:szCs w:val="32"/>
          <w:lang w:val="en-US" w:eastAsia="zh-CN"/>
        </w:rPr>
      </w:pPr>
      <w:r>
        <w:rPr>
          <w:rFonts w:hint="eastAsia" w:ascii="仿宋_GB2312" w:hAnsi="仿宋_GB2312" w:cs="仿宋_GB2312"/>
          <w:szCs w:val="32"/>
          <w:lang w:val="en-US" w:eastAsia="zh-CN"/>
        </w:rPr>
        <w:t>经济性：我校2021年项目支出预算资金为</w:t>
      </w:r>
      <w:r>
        <w:rPr>
          <w:rFonts w:hint="eastAsia" w:ascii="仿宋_GB2312"/>
          <w:szCs w:val="32"/>
          <w:lang w:val="en-US" w:eastAsia="zh-CN"/>
        </w:rPr>
        <w:t>287.97万</w:t>
      </w:r>
      <w:r>
        <w:rPr>
          <w:rFonts w:hint="eastAsia" w:ascii="仿宋_GB2312" w:hAnsi="仿宋_GB2312" w:cs="仿宋_GB2312"/>
          <w:szCs w:val="32"/>
          <w:lang w:val="en-US" w:eastAsia="zh-CN"/>
        </w:rPr>
        <w:t>元，项目实际支出金额为286.89万元，成本控制在预算范围内。每项经费支出均做到货比三家，坚持绿色、环保、节约。</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hAnsi="仿宋_GB2312" w:cs="仿宋_GB2312"/>
          <w:szCs w:val="32"/>
          <w:lang w:val="en-US" w:eastAsia="zh-CN"/>
        </w:rPr>
      </w:pPr>
      <w:r>
        <w:rPr>
          <w:rFonts w:hint="eastAsia" w:ascii="仿宋_GB2312" w:hAnsi="仿宋_GB2312" w:cs="仿宋_GB2312"/>
          <w:szCs w:val="32"/>
          <w:lang w:val="en-US" w:eastAsia="zh-CN"/>
        </w:rPr>
        <w:t xml:space="preserve">效率性：项目质量严格按照我校已有的保障项目实施的制度措施及国家和行业相关规定进行把关与验收。所有项目已按预定计划完成。 </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default" w:ascii="仿宋_GB2312" w:hAnsi="仿宋_GB2312" w:cs="仿宋_GB2312"/>
          <w:szCs w:val="32"/>
          <w:lang w:val="en-US" w:eastAsia="zh-CN"/>
        </w:rPr>
      </w:pPr>
      <w:r>
        <w:rPr>
          <w:rFonts w:hint="eastAsia" w:ascii="仿宋_GB2312" w:hAnsi="仿宋_GB2312" w:cs="仿宋_GB2312"/>
          <w:szCs w:val="32"/>
          <w:lang w:val="en-US" w:eastAsia="zh-CN"/>
        </w:rPr>
        <w:t>有效性：资金使用效果良好，各项个性指标均达到预定目标。</w:t>
      </w:r>
    </w:p>
    <w:p>
      <w:pPr>
        <w:numPr>
          <w:ilvl w:val="0"/>
          <w:numId w:val="0"/>
        </w:numPr>
        <w:topLinePunct/>
        <w:ind w:firstLine="594" w:firstLineChars="200"/>
        <w:rPr>
          <w:rFonts w:hint="eastAsia" w:ascii="仿宋_GB2312"/>
          <w:szCs w:val="32"/>
          <w:lang w:val="en-US" w:eastAsia="zh-CN"/>
        </w:rPr>
      </w:pPr>
      <w:r>
        <w:rPr>
          <w:rFonts w:hint="eastAsia" w:ascii="仿宋_GB2312"/>
          <w:szCs w:val="32"/>
          <w:lang w:val="en-US" w:eastAsia="zh-CN"/>
        </w:rPr>
        <w:t>可持续性：解决校舍安全隐患问题，确保师生安全，保证学校各项教育教学的正常开展和校园的全面发展。</w:t>
      </w:r>
    </w:p>
    <w:p>
      <w:pPr>
        <w:topLinePunct/>
        <w:ind w:firstLine="594" w:firstLineChars="200"/>
        <w:rPr>
          <w:rFonts w:ascii="黑体" w:eastAsia="黑体"/>
          <w:szCs w:val="32"/>
        </w:rPr>
      </w:pPr>
      <w:r>
        <w:rPr>
          <w:rFonts w:hint="eastAsia" w:ascii="仿宋_GB2312"/>
          <w:szCs w:val="32"/>
          <w:lang w:val="en-US" w:eastAsia="zh-CN"/>
        </w:rPr>
        <w:t xml:space="preserve"> </w:t>
      </w: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仿宋_GB2312"/>
          <w:szCs w:val="32"/>
        </w:rPr>
      </w:pPr>
      <w:r>
        <w:rPr>
          <w:rFonts w:hint="eastAsia" w:ascii="楷体_GB2312" w:hAnsi="楷体_GB2312" w:eastAsia="楷体_GB2312" w:cs="楷体_GB2312"/>
          <w:szCs w:val="32"/>
        </w:rPr>
        <w:t>（一）专项管理方面的问题</w:t>
      </w:r>
    </w:p>
    <w:p>
      <w:pPr>
        <w:topLinePunct/>
        <w:ind w:firstLine="1188" w:firstLineChars="400"/>
        <w:jc w:val="both"/>
        <w:rPr>
          <w:rFonts w:hint="eastAsia" w:ascii="仿宋_GB2312"/>
          <w:szCs w:val="32"/>
          <w:lang w:val="en-US" w:eastAsia="zh-CN"/>
        </w:rPr>
      </w:pPr>
      <w:r>
        <w:rPr>
          <w:rFonts w:hint="eastAsia" w:ascii="仿宋_GB2312"/>
          <w:szCs w:val="32"/>
          <w:lang w:val="en-US" w:eastAsia="zh-CN"/>
        </w:rPr>
        <w:t>无</w:t>
      </w:r>
    </w:p>
    <w:p>
      <w:pPr>
        <w:numPr>
          <w:ilvl w:val="0"/>
          <w:numId w:val="0"/>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资金分配方面的问题</w:t>
      </w:r>
    </w:p>
    <w:p>
      <w:pPr>
        <w:numPr>
          <w:ilvl w:val="0"/>
          <w:numId w:val="0"/>
        </w:numPr>
        <w:topLinePunct/>
        <w:ind w:leftChars="200" w:firstLine="594" w:firstLineChars="200"/>
        <w:rPr>
          <w:rFonts w:ascii="仿宋_GB2312"/>
          <w:szCs w:val="32"/>
        </w:rPr>
      </w:pPr>
      <w:r>
        <w:rPr>
          <w:rFonts w:hint="eastAsia" w:ascii="仿宋_GB2312"/>
          <w:szCs w:val="32"/>
          <w:lang w:val="en-US" w:eastAsia="zh-CN"/>
        </w:rPr>
        <w:t>无</w:t>
      </w:r>
    </w:p>
    <w:p>
      <w:pPr>
        <w:numPr>
          <w:ilvl w:val="0"/>
          <w:numId w:val="0"/>
        </w:numPr>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资金拨付方面的问题</w:t>
      </w:r>
    </w:p>
    <w:p>
      <w:pPr>
        <w:numPr>
          <w:ilvl w:val="0"/>
          <w:numId w:val="0"/>
        </w:numPr>
        <w:topLinePunct/>
        <w:ind w:leftChars="200" w:firstLine="594" w:firstLineChars="200"/>
        <w:rPr>
          <w:rFonts w:ascii="仿宋_GB2312"/>
          <w:szCs w:val="32"/>
        </w:rPr>
      </w:pPr>
      <w:r>
        <w:rPr>
          <w:rFonts w:hint="eastAsia" w:ascii="仿宋_GB2312"/>
          <w:szCs w:val="32"/>
          <w:lang w:val="en-US" w:eastAsia="zh-CN"/>
        </w:rPr>
        <w:t>无</w:t>
      </w:r>
    </w:p>
    <w:p>
      <w:pPr>
        <w:numPr>
          <w:ilvl w:val="0"/>
          <w:numId w:val="0"/>
        </w:numPr>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（四）</w:t>
      </w:r>
      <w:r>
        <w:rPr>
          <w:rFonts w:hint="eastAsia" w:ascii="楷体_GB2312" w:hAnsi="楷体_GB2312" w:eastAsia="楷体_GB2312" w:cs="楷体_GB2312"/>
          <w:szCs w:val="32"/>
        </w:rPr>
        <w:t>资金使用方面的问题</w:t>
      </w:r>
    </w:p>
    <w:p>
      <w:pPr>
        <w:numPr>
          <w:ilvl w:val="0"/>
          <w:numId w:val="0"/>
        </w:numPr>
        <w:topLinePunct/>
        <w:ind w:leftChars="200" w:firstLine="594" w:firstLineChars="200"/>
        <w:rPr>
          <w:rFonts w:ascii="仿宋_GB2312"/>
          <w:szCs w:val="32"/>
        </w:rPr>
      </w:pPr>
      <w:r>
        <w:rPr>
          <w:rFonts w:hint="eastAsia" w:ascii="仿宋_GB2312"/>
          <w:szCs w:val="32"/>
          <w:lang w:val="en-US" w:eastAsia="zh-CN"/>
        </w:rPr>
        <w:t>无</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topLinePunct/>
        <w:ind w:firstLine="594" w:firstLineChars="200"/>
        <w:rPr>
          <w:rFonts w:hint="default" w:ascii="仿宋_GB2312" w:eastAsia="仿宋_GB2312"/>
          <w:szCs w:val="32"/>
          <w:lang w:val="en-US" w:eastAsia="zh-CN"/>
        </w:rPr>
      </w:pPr>
      <w:r>
        <w:rPr>
          <w:rFonts w:hint="eastAsia" w:ascii="仿宋_GB2312"/>
          <w:szCs w:val="32"/>
          <w:lang w:val="en-US" w:eastAsia="zh-CN"/>
        </w:rPr>
        <w:t>加强相关政策法规的学习，规范项目实施的各个环节，争取让项目的经济性、效率性、有效性、可持续性得到最佳实现。</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（二）主要经验做法、改进措施和有关建议等</w:t>
      </w:r>
    </w:p>
    <w:p>
      <w:pPr>
        <w:topLinePunct/>
        <w:ind w:firstLine="594" w:firstLineChars="200"/>
        <w:jc w:val="both"/>
        <w:rPr>
          <w:rFonts w:hint="eastAsia" w:ascii="仿宋_GB2312"/>
          <w:szCs w:val="32"/>
          <w:lang w:val="en-US" w:eastAsia="zh-CN"/>
        </w:rPr>
      </w:pPr>
      <w:r>
        <w:rPr>
          <w:rFonts w:hint="eastAsia" w:ascii="仿宋_GB2312"/>
          <w:szCs w:val="32"/>
          <w:lang w:val="en-US" w:eastAsia="zh-CN"/>
        </w:rPr>
        <w:t>1.主要经验及做法：</w:t>
      </w:r>
    </w:p>
    <w:p>
      <w:pPr>
        <w:topLinePunct/>
        <w:ind w:firstLine="594" w:firstLineChars="200"/>
        <w:jc w:val="both"/>
        <w:rPr>
          <w:rFonts w:hint="eastAsia" w:ascii="仿宋_GB2312"/>
          <w:szCs w:val="32"/>
          <w:lang w:val="en-US" w:eastAsia="zh-CN"/>
        </w:rPr>
      </w:pPr>
      <w:r>
        <w:rPr>
          <w:rFonts w:hint="eastAsia" w:ascii="仿宋_GB2312"/>
          <w:szCs w:val="32"/>
          <w:lang w:val="en-US" w:eastAsia="zh-CN"/>
        </w:rPr>
        <w:t>领导高度重视，明确分工，各岗位人员各司其职，提前做好实施项目的准备工作。</w:t>
      </w:r>
    </w:p>
    <w:p>
      <w:pPr>
        <w:numPr>
          <w:ilvl w:val="0"/>
          <w:numId w:val="2"/>
        </w:numPr>
        <w:topLinePunct/>
        <w:ind w:left="740" w:leftChars="0" w:firstLine="0" w:firstLineChars="0"/>
        <w:jc w:val="both"/>
        <w:rPr>
          <w:rFonts w:hint="eastAsia" w:ascii="仿宋_GB2312" w:hAnsi="仿宋_GB2312" w:eastAsia="仿宋_GB2312" w:cs="仿宋_GB2312"/>
          <w:sz w:val="32"/>
          <w:szCs w:val="32"/>
          <w:lang w:val="en-US"/>
        </w:rPr>
      </w:pPr>
      <w:r>
        <w:rPr>
          <w:rFonts w:hint="eastAsia" w:ascii="仿宋_GB2312"/>
          <w:szCs w:val="32"/>
          <w:lang w:val="en-US" w:eastAsia="zh-CN"/>
        </w:rPr>
        <w:t>建议：</w:t>
      </w:r>
    </w:p>
    <w:p>
      <w:pPr>
        <w:numPr>
          <w:ilvl w:val="0"/>
          <w:numId w:val="0"/>
        </w:numPr>
        <w:topLinePunct/>
        <w:ind w:firstLine="594"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项目相关目标内容的量化指标不够准确，不能准确反映项目产出数量与产出效益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项目资金没有按计划完成支出，支出进度不够，以及相应的项目产出数量不足。</w:t>
      </w:r>
      <w:r>
        <w:rPr>
          <w:rFonts w:hint="eastAsia" w:ascii="仿宋_GB2312" w:hAnsi="仿宋_GB2312" w:eastAsia="仿宋_GB2312" w:cs="仿宋_GB2312"/>
          <w:sz w:val="32"/>
          <w:szCs w:val="32"/>
          <w:lang w:val="en-US" w:eastAsia="zh-CN"/>
        </w:rPr>
        <w:t>努力提高财务处理能力，提升部门工作效率。</w:t>
      </w: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CFD85E"/>
    <w:multiLevelType w:val="singleLevel"/>
    <w:tmpl w:val="DDCFD85E"/>
    <w:lvl w:ilvl="0" w:tentative="0">
      <w:start w:val="2"/>
      <w:numFmt w:val="decimal"/>
      <w:lvlText w:val="%1."/>
      <w:lvlJc w:val="left"/>
      <w:pPr>
        <w:tabs>
          <w:tab w:val="left" w:pos="312"/>
        </w:tabs>
        <w:ind w:left="740" w:leftChars="0" w:firstLine="0" w:firstLineChars="0"/>
      </w:pPr>
    </w:lvl>
  </w:abstractNum>
  <w:abstractNum w:abstractNumId="1">
    <w:nsid w:val="0D671DA2"/>
    <w:multiLevelType w:val="singleLevel"/>
    <w:tmpl w:val="0D671DA2"/>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OWNmZDMyOGE0ODI5MjJiODhjMzlkNDhlOTc0MDIifQ=="/>
  </w:docVars>
  <w:rsids>
    <w:rsidRoot w:val="00000000"/>
    <w:rsid w:val="02E66A87"/>
    <w:rsid w:val="03AA3447"/>
    <w:rsid w:val="053A3FF8"/>
    <w:rsid w:val="05AE36CA"/>
    <w:rsid w:val="06136064"/>
    <w:rsid w:val="09B2656F"/>
    <w:rsid w:val="0A125D31"/>
    <w:rsid w:val="0EC86298"/>
    <w:rsid w:val="102E7CB9"/>
    <w:rsid w:val="17EF0DA6"/>
    <w:rsid w:val="199F2D0D"/>
    <w:rsid w:val="19AE5DF9"/>
    <w:rsid w:val="1CB86972"/>
    <w:rsid w:val="1D745518"/>
    <w:rsid w:val="233F5119"/>
    <w:rsid w:val="260F64A4"/>
    <w:rsid w:val="26740BE6"/>
    <w:rsid w:val="28B66FBE"/>
    <w:rsid w:val="2A224DDB"/>
    <w:rsid w:val="2C40277F"/>
    <w:rsid w:val="2CB62111"/>
    <w:rsid w:val="2DD06AA7"/>
    <w:rsid w:val="33745B10"/>
    <w:rsid w:val="339E492B"/>
    <w:rsid w:val="36545FDA"/>
    <w:rsid w:val="378A5996"/>
    <w:rsid w:val="393F69A0"/>
    <w:rsid w:val="3C5B50FD"/>
    <w:rsid w:val="3D4B72E9"/>
    <w:rsid w:val="3E724917"/>
    <w:rsid w:val="3F33555F"/>
    <w:rsid w:val="4051250D"/>
    <w:rsid w:val="41050961"/>
    <w:rsid w:val="482811EB"/>
    <w:rsid w:val="4A1B2DC7"/>
    <w:rsid w:val="4E7B6155"/>
    <w:rsid w:val="50FC7FA0"/>
    <w:rsid w:val="525657E9"/>
    <w:rsid w:val="52A37C64"/>
    <w:rsid w:val="5340009F"/>
    <w:rsid w:val="5776152D"/>
    <w:rsid w:val="596D1519"/>
    <w:rsid w:val="5A3C6978"/>
    <w:rsid w:val="5CDE5C68"/>
    <w:rsid w:val="5F2F657F"/>
    <w:rsid w:val="5F354DE9"/>
    <w:rsid w:val="609F35CD"/>
    <w:rsid w:val="63D46B77"/>
    <w:rsid w:val="649B67A9"/>
    <w:rsid w:val="653067BE"/>
    <w:rsid w:val="664B58E5"/>
    <w:rsid w:val="67600811"/>
    <w:rsid w:val="6FA346FC"/>
    <w:rsid w:val="70F4292C"/>
    <w:rsid w:val="77130E72"/>
    <w:rsid w:val="7AC30695"/>
    <w:rsid w:val="7EDE3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1517</Words>
  <Characters>1588</Characters>
  <Lines>0</Lines>
  <Paragraphs>0</Paragraphs>
  <TotalTime>5</TotalTime>
  <ScaleCrop>false</ScaleCrop>
  <LinksUpToDate>false</LinksUpToDate>
  <CharactersWithSpaces>1596</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2023-10-07T07:35:02Z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3C3791B8CE704FB5844AE5F5735667CD</vt:lpwstr>
  </property>
</Properties>
</file>