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附件</w:t>
      </w:r>
      <w:r>
        <w:rPr>
          <w:rFonts w:hint="eastAsia"/>
          <w:lang w:val="en-US" w:eastAsia="zh-CN"/>
        </w:rPr>
        <w:t>4-2</w:t>
      </w:r>
      <w:r>
        <w:t>:</w:t>
      </w:r>
    </w:p>
    <w:p>
      <w:pPr>
        <w:rPr>
          <w:rFonts w:ascii="黑体" w:eastAsia="黑体"/>
          <w:szCs w:val="32"/>
        </w:rPr>
      </w:pPr>
    </w:p>
    <w:p>
      <w:pPr>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昆明高新技术产业开发区第四小学营养餐</w:t>
      </w:r>
    </w:p>
    <w:p>
      <w:pPr>
        <w:spacing w:line="600" w:lineRule="exact"/>
        <w:jc w:val="center"/>
        <w:rPr>
          <w:rFonts w:ascii="方正小标宋_GBK" w:eastAsia="方正小标宋_GBK"/>
          <w:sz w:val="44"/>
          <w:szCs w:val="44"/>
        </w:rPr>
      </w:pPr>
      <w:r>
        <w:rPr>
          <w:rFonts w:hint="eastAsia" w:ascii="方正小标宋_GBK" w:eastAsia="方正小标宋_GBK"/>
          <w:sz w:val="44"/>
          <w:szCs w:val="44"/>
          <w:lang w:val="en-US" w:eastAsia="zh-CN"/>
        </w:rPr>
        <w:t>改善计划</w:t>
      </w: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 w:val="32"/>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topLinePunct/>
        <w:ind w:firstLine="594" w:firstLineChars="200"/>
        <w:rPr>
          <w:rFonts w:hint="default" w:ascii="仿宋_GB2312"/>
          <w:szCs w:val="32"/>
          <w:lang w:val="en-US" w:eastAsia="zh-CN"/>
        </w:rPr>
      </w:pPr>
      <w:r>
        <w:rPr>
          <w:rFonts w:hint="eastAsia" w:ascii="仿宋_GB2312" w:hAnsi="仿宋_GB2312" w:eastAsia="仿宋_GB2312" w:cs="仿宋_GB2312"/>
          <w:sz w:val="32"/>
          <w:szCs w:val="32"/>
          <w:lang w:val="en-US" w:eastAsia="zh-CN"/>
        </w:rPr>
        <w:t>昆明高新技术产业开发区第四小学</w:t>
      </w:r>
      <w:r>
        <w:rPr>
          <w:rFonts w:hint="eastAsia" w:ascii="仿宋_GB2312"/>
          <w:szCs w:val="32"/>
          <w:lang w:val="en-US" w:eastAsia="zh-CN"/>
        </w:rPr>
        <w:t xml:space="preserve">为财政全额拨款事业单位，办园规模56个教学班，现有教职工160人，在校学生2637人。设有党政综合办公室、教科研室、德育处、总务处、安全保卫科、学生食堂、寄宿生宿舍等。2021年，呈贡区财政安排我校义务教育学生营养餐项目资金210.96万元,为事业发展类项目。是延续性项目经费，主要用于改善青少年营养状况，促进学生健康发展和全面发展。 </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ind w:firstLine="594" w:firstLineChars="200"/>
        <w:rPr>
          <w:rFonts w:hint="eastAsia" w:ascii="仿宋_GB2312"/>
          <w:szCs w:val="32"/>
          <w:lang w:val="en-US" w:eastAsia="zh-CN"/>
        </w:rPr>
      </w:pPr>
      <w:r>
        <w:rPr>
          <w:rFonts w:hint="eastAsia" w:ascii="仿宋_GB2312"/>
          <w:szCs w:val="32"/>
          <w:lang w:val="en-US" w:eastAsia="zh-CN"/>
        </w:rPr>
        <w:t xml:space="preserve">项目绩效目标为：改善农村学生营养状况，促进学生体质健康。 </w:t>
      </w:r>
    </w:p>
    <w:p>
      <w:pPr>
        <w:numPr>
          <w:ilvl w:val="0"/>
          <w:numId w:val="0"/>
        </w:numPr>
        <w:topLinePunct/>
        <w:ind w:firstLine="594" w:firstLineChars="200"/>
        <w:rPr>
          <w:rFonts w:hint="eastAsia" w:ascii="仿宋_GB2312"/>
          <w:szCs w:val="32"/>
          <w:lang w:val="en-US" w:eastAsia="zh-CN"/>
        </w:rPr>
      </w:pPr>
      <w:r>
        <w:rPr>
          <w:rFonts w:hint="eastAsia" w:ascii="仿宋_GB2312"/>
          <w:szCs w:val="32"/>
          <w:lang w:val="en-US" w:eastAsia="zh-CN"/>
        </w:rPr>
        <w:t xml:space="preserve">指标完成情况：改善了2637名学生中餐质量，促进学生体质健康发展。  </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rPr>
      </w:pPr>
      <w:r>
        <w:rPr>
          <w:rFonts w:hint="eastAsia" w:ascii="仿宋_GB2312" w:hAnsi="仿宋_GB2312" w:cs="仿宋_GB2312"/>
          <w:szCs w:val="32"/>
          <w:lang w:val="en-US" w:eastAsia="zh-CN"/>
        </w:rPr>
        <w:t>2021年，呈贡区财政共安排我校项目资金</w:t>
      </w:r>
      <w:r>
        <w:rPr>
          <w:rFonts w:hint="eastAsia" w:ascii="仿宋_GB2312"/>
          <w:szCs w:val="32"/>
          <w:lang w:val="en-US" w:eastAsia="zh-CN"/>
        </w:rPr>
        <w:t>210.96万</w:t>
      </w:r>
      <w:r>
        <w:rPr>
          <w:rFonts w:hint="eastAsia" w:ascii="仿宋_GB2312" w:hAnsi="仿宋_GB2312" w:cs="仿宋_GB2312"/>
          <w:szCs w:val="32"/>
          <w:lang w:val="en-US" w:eastAsia="zh-CN"/>
        </w:rPr>
        <w:t>元， 支出193.52万元，结余17.44万元。 我校制定了《昆明高新技术产业开发区第四小学‘三重一大’制度》、《昆明高新技术产业开发区第四小学财务制度》等多项制度，项目的执行经党政联席会议讨论后决定。</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前期准备：成立项目实施工作领导小组、明确具体负责人、财务部门做好资金的管理和使用， 制定了《昆明高新技术产业开发区第四小学财务制度》、《昆明高新技术产业开发区第四小学财务人员职责》、切实有效地保证了财政资金专款专用。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招投标：预算批复及资金下达后，依据《中华人民共和国招标投标法》等法律法规办理招投标手续，招募两家配送公司专门进行学生营养餐食材的配送，组织相关人员进行验收，验收合格后，办理付款手</w:t>
      </w:r>
      <w:bookmarkStart w:id="0" w:name="_GoBack"/>
      <w:bookmarkEnd w:id="0"/>
      <w:r>
        <w:rPr>
          <w:rFonts w:hint="eastAsia" w:ascii="仿宋_GB2312" w:hAnsi="仿宋_GB2312" w:cs="仿宋_GB2312"/>
          <w:szCs w:val="32"/>
          <w:lang w:val="en-US" w:eastAsia="zh-CN"/>
        </w:rPr>
        <w:t>续。</w:t>
      </w:r>
    </w:p>
    <w:p>
      <w:pPr>
        <w:numPr>
          <w:ilvl w:val="0"/>
          <w:numId w:val="0"/>
        </w:numPr>
        <w:topLinePunct/>
        <w:ind w:firstLine="594" w:firstLineChars="200"/>
        <w:rPr>
          <w:rFonts w:hint="eastAsia" w:ascii="仿宋_GB2312"/>
          <w:szCs w:val="32"/>
          <w:lang w:val="en-US" w:eastAsia="zh-CN"/>
        </w:rPr>
      </w:pPr>
      <w:r>
        <w:rPr>
          <w:rFonts w:hint="eastAsia" w:ascii="仿宋_GB2312" w:hAnsi="仿宋_GB2312" w:cs="仿宋_GB2312"/>
          <w:szCs w:val="32"/>
          <w:lang w:val="en-US" w:eastAsia="zh-CN"/>
        </w:rPr>
        <w:t>项目管理情况：项目资金管理领导小组确定项目负责人，项目负责人对项目的立项、预算申请、招投标、合同签订、项目跟进等系列工作进行全程跟进及负责。严格执行《昆明高新技术产业开发区第四小学‘三重一大’制度》、《昆明高新技术产业开发区第四小学财务制度》等制度，</w:t>
      </w:r>
      <w:r>
        <w:rPr>
          <w:rFonts w:hint="eastAsia" w:ascii="仿宋_GB2312" w:hAnsi="仿宋_GB2312" w:cs="仿宋_GB2312"/>
          <w:color w:val="auto"/>
          <w:szCs w:val="32"/>
          <w:lang w:val="en-US" w:eastAsia="zh-CN"/>
        </w:rPr>
        <w:t>2021春季学期营养餐补足资金为</w:t>
      </w:r>
      <w:r>
        <w:rPr>
          <w:rFonts w:hint="eastAsia" w:ascii="仿宋_GB2312" w:hAnsi="仿宋_GB2312" w:cs="仿宋_GB2312"/>
          <w:szCs w:val="32"/>
          <w:lang w:val="en-US" w:eastAsia="zh-CN"/>
        </w:rPr>
        <w:t>4元</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生</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天，按100天计算，高新四小通过对学生的中餐进行补助，高新四小化城校区因没有学生食堂，发放方式为每天为学生提供价值4元的牛奶，</w:t>
      </w:r>
      <w:r>
        <w:rPr>
          <w:rFonts w:hint="eastAsia" w:ascii="仿宋_GB2312"/>
          <w:szCs w:val="32"/>
          <w:lang w:val="en-US" w:eastAsia="zh-CN"/>
        </w:rPr>
        <w:t xml:space="preserve">改善了学生营养状况，促进学生体质健康。  </w:t>
      </w:r>
    </w:p>
    <w:p>
      <w:pPr>
        <w:numPr>
          <w:ilvl w:val="0"/>
          <w:numId w:val="0"/>
        </w:numPr>
        <w:topLinePunct/>
        <w:ind w:firstLine="594" w:firstLineChars="200"/>
        <w:rPr>
          <w:rFonts w:hint="eastAsia" w:ascii="仿宋_GB2312"/>
          <w:color w:val="auto"/>
          <w:szCs w:val="32"/>
          <w:lang w:val="en-US" w:eastAsia="zh-CN"/>
        </w:rPr>
      </w:pPr>
      <w:r>
        <w:rPr>
          <w:rFonts w:hint="eastAsia" w:ascii="仿宋_GB2312"/>
          <w:color w:val="auto"/>
          <w:szCs w:val="32"/>
          <w:lang w:val="en-US" w:eastAsia="zh-CN"/>
        </w:rPr>
        <w:t xml:space="preserve">2021秋季学期根据财教【 2021】 174号文件财政部、 教育部关于深入实施农村义务教育学生营养改善计划的通知精神，农村义务教育营养膳食补助国家标准提高至5元。我校严格按照文件精神认真贯彻执行。 </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经济性：我校2021年项目支出预算资金为</w:t>
      </w:r>
      <w:r>
        <w:rPr>
          <w:rFonts w:hint="eastAsia" w:ascii="仿宋_GB2312"/>
          <w:szCs w:val="32"/>
          <w:lang w:val="en-US" w:eastAsia="zh-CN"/>
        </w:rPr>
        <w:t>210.96万</w:t>
      </w:r>
      <w:r>
        <w:rPr>
          <w:rFonts w:hint="eastAsia" w:ascii="仿宋_GB2312" w:hAnsi="仿宋_GB2312" w:cs="仿宋_GB2312"/>
          <w:szCs w:val="32"/>
          <w:lang w:val="en-US" w:eastAsia="zh-CN"/>
        </w:rPr>
        <w:t>元，项目实际支出金额为193.52万元，成本控制在预算范围内。每项经费支出均做到货比三家，坚持绿色、环保、节约。</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效率性：项目质量严格按照我校已有的保障项目实施的制度措施及国家和行业相关规定进行把关与验收。所有项目已按预定计划完成。 </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val="en-US" w:eastAsia="zh-CN"/>
        </w:rPr>
        <w:t>有效性：资金使用效果良好，各项个性指标均达到预定目标。</w:t>
      </w:r>
    </w:p>
    <w:p>
      <w:pPr>
        <w:numPr>
          <w:ilvl w:val="0"/>
          <w:numId w:val="0"/>
        </w:numPr>
        <w:topLinePunct/>
        <w:ind w:firstLine="594" w:firstLineChars="200"/>
        <w:rPr>
          <w:rFonts w:hint="eastAsia" w:ascii="仿宋_GB2312"/>
          <w:szCs w:val="32"/>
          <w:lang w:val="en-US" w:eastAsia="zh-CN"/>
        </w:rPr>
      </w:pPr>
      <w:r>
        <w:rPr>
          <w:rFonts w:hint="eastAsia" w:ascii="仿宋_GB2312"/>
          <w:szCs w:val="32"/>
          <w:lang w:val="en-US" w:eastAsia="zh-CN"/>
        </w:rPr>
        <w:t xml:space="preserve">可持续性：改善农村学生营养状况，促进学生体质健康。 </w:t>
      </w:r>
    </w:p>
    <w:p>
      <w:pPr>
        <w:topLinePunct/>
        <w:ind w:firstLine="594" w:firstLineChars="200"/>
        <w:rPr>
          <w:rFonts w:ascii="黑体" w:eastAsia="黑体"/>
          <w:szCs w:val="32"/>
        </w:rPr>
      </w:pPr>
      <w:r>
        <w:rPr>
          <w:rFonts w:hint="eastAsia" w:ascii="仿宋_GB2312"/>
          <w:szCs w:val="32"/>
          <w:lang w:val="en-US" w:eastAsia="zh-CN"/>
        </w:rPr>
        <w:t xml:space="preserve"> </w:t>
      </w: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楷体_GB2312" w:hAnsi="楷体_GB2312" w:eastAsia="楷体_GB2312" w:cs="楷体_GB2312"/>
          <w:szCs w:val="32"/>
        </w:rPr>
        <w:t>（一）专项管理方面的问题</w:t>
      </w:r>
    </w:p>
    <w:p>
      <w:pPr>
        <w:topLinePunct/>
        <w:ind w:firstLine="1188" w:firstLineChars="400"/>
        <w:jc w:val="both"/>
        <w:rPr>
          <w:rFonts w:hint="eastAsia" w:ascii="仿宋_GB2312"/>
          <w:szCs w:val="32"/>
          <w:lang w:val="en-US" w:eastAsia="zh-CN"/>
        </w:rPr>
      </w:pPr>
      <w:r>
        <w:rPr>
          <w:rFonts w:hint="eastAsia" w:ascii="仿宋_GB2312"/>
          <w:szCs w:val="32"/>
          <w:lang w:val="en-US" w:eastAsia="zh-CN"/>
        </w:rPr>
        <w:t>无</w:t>
      </w:r>
    </w:p>
    <w:p>
      <w:pPr>
        <w:numPr>
          <w:ilvl w:val="0"/>
          <w:numId w:val="0"/>
        </w:numPr>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资金分配方面的问题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numPr>
          <w:ilvl w:val="0"/>
          <w:numId w:val="0"/>
        </w:numPr>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资金拨付方面的问题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numPr>
          <w:ilvl w:val="0"/>
          <w:numId w:val="0"/>
        </w:numPr>
        <w:topLinePunct/>
        <w:ind w:leftChars="200"/>
        <w:rPr>
          <w:rFonts w:hint="eastAsia" w:ascii="仿宋_GB2312"/>
          <w:szCs w:val="32"/>
        </w:rPr>
      </w:pPr>
      <w:r>
        <w:rPr>
          <w:rFonts w:hint="eastAsia" w:ascii="仿宋_GB2312"/>
          <w:szCs w:val="32"/>
          <w:lang w:eastAsia="zh-CN"/>
        </w:rPr>
        <w:t>（四）</w:t>
      </w:r>
      <w:r>
        <w:rPr>
          <w:rFonts w:hint="eastAsia" w:ascii="仿宋_GB2312"/>
          <w:szCs w:val="32"/>
        </w:rPr>
        <w:t>资金使用方面的问题</w:t>
      </w:r>
    </w:p>
    <w:p>
      <w:pPr>
        <w:numPr>
          <w:ilvl w:val="0"/>
          <w:numId w:val="0"/>
        </w:numPr>
        <w:topLinePunct/>
        <w:ind w:leftChars="200" w:firstLine="594" w:firstLineChars="200"/>
        <w:rPr>
          <w:rFonts w:ascii="仿宋_GB2312"/>
          <w:szCs w:val="32"/>
        </w:rPr>
      </w:pPr>
      <w:r>
        <w:rPr>
          <w:rFonts w:hint="eastAsia" w:ascii="仿宋_GB2312"/>
          <w:szCs w:val="32"/>
          <w:lang w:val="en-US"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default" w:ascii="仿宋_GB2312" w:eastAsia="仿宋_GB2312"/>
          <w:szCs w:val="32"/>
          <w:lang w:val="en-US" w:eastAsia="zh-CN"/>
        </w:rPr>
      </w:pPr>
      <w:r>
        <w:rPr>
          <w:rFonts w:hint="eastAsia" w:ascii="仿宋_GB2312"/>
          <w:szCs w:val="32"/>
          <w:lang w:val="en-US" w:eastAsia="zh-CN"/>
        </w:rPr>
        <w:t>加强相关政策法规的学习，规范项目实施的各个环节，争取让项目的经济性、效率性、有效性、可持续性得到最佳实现。</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1.主要经验及做法：</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领导高度重视，明确分工，各岗位人员各司其职，提前做好实施项目的准备工作。</w:t>
      </w:r>
    </w:p>
    <w:p>
      <w:pPr>
        <w:topLinePunct/>
        <w:ind w:firstLine="594" w:firstLineChars="200"/>
        <w:jc w:val="both"/>
        <w:rPr>
          <w:rFonts w:hint="eastAsia" w:ascii="仿宋_GB2312" w:hAnsi="仿宋_GB2312" w:eastAsia="仿宋_GB2312" w:cs="仿宋_GB2312"/>
          <w:sz w:val="32"/>
          <w:szCs w:val="32"/>
          <w:lang w:val="en-US"/>
        </w:rPr>
      </w:pPr>
      <w:r>
        <w:rPr>
          <w:rFonts w:hint="eastAsia" w:ascii="仿宋_GB2312"/>
          <w:szCs w:val="32"/>
          <w:lang w:val="en-US" w:eastAsia="zh-CN"/>
        </w:rPr>
        <w:t>2.建议：</w:t>
      </w:r>
      <w:r>
        <w:rPr>
          <w:rFonts w:hint="eastAsia" w:ascii="仿宋_GB2312" w:hAnsi="仿宋_GB2312" w:eastAsia="仿宋_GB2312" w:cs="仿宋_GB2312"/>
          <w:sz w:val="32"/>
          <w:szCs w:val="32"/>
        </w:rPr>
        <w:t>项目相关目标内容的量化指标不够准确，不能准确反映项目产出数量与产出效益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项目资金没有按计划完成支出，支出进度不够，以及相应的项目产出数量不足。</w:t>
      </w:r>
      <w:r>
        <w:rPr>
          <w:rFonts w:hint="eastAsia" w:ascii="仿宋_GB2312" w:hAnsi="仿宋_GB2312" w:eastAsia="仿宋_GB2312" w:cs="仿宋_GB2312"/>
          <w:sz w:val="32"/>
          <w:szCs w:val="32"/>
          <w:lang w:val="en-US" w:eastAsia="zh-CN"/>
        </w:rPr>
        <w:t>努力提高财务处理能力，提升部门工作效率。</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1DA2"/>
    <w:multiLevelType w:val="singleLevel"/>
    <w:tmpl w:val="0D671D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3AA3447"/>
    <w:rsid w:val="05AE36CA"/>
    <w:rsid w:val="09B2656F"/>
    <w:rsid w:val="0A125D31"/>
    <w:rsid w:val="0EC86298"/>
    <w:rsid w:val="13A71186"/>
    <w:rsid w:val="13F30647"/>
    <w:rsid w:val="17EF0DA6"/>
    <w:rsid w:val="199F2D0D"/>
    <w:rsid w:val="1CB86972"/>
    <w:rsid w:val="1D745518"/>
    <w:rsid w:val="26740BE6"/>
    <w:rsid w:val="28B66FBE"/>
    <w:rsid w:val="2A224DDB"/>
    <w:rsid w:val="2BEF0E7A"/>
    <w:rsid w:val="2CB62111"/>
    <w:rsid w:val="2DAE1764"/>
    <w:rsid w:val="33745B10"/>
    <w:rsid w:val="36545FDA"/>
    <w:rsid w:val="378A5996"/>
    <w:rsid w:val="3C5B50FD"/>
    <w:rsid w:val="3D4B72E9"/>
    <w:rsid w:val="3F33555F"/>
    <w:rsid w:val="4051250D"/>
    <w:rsid w:val="41050961"/>
    <w:rsid w:val="482811EB"/>
    <w:rsid w:val="4A1B2DC7"/>
    <w:rsid w:val="4E7B6155"/>
    <w:rsid w:val="50FC7FA0"/>
    <w:rsid w:val="525657E9"/>
    <w:rsid w:val="52A37C64"/>
    <w:rsid w:val="5340009F"/>
    <w:rsid w:val="5776152D"/>
    <w:rsid w:val="596D1519"/>
    <w:rsid w:val="5A3C6978"/>
    <w:rsid w:val="5CDE5C68"/>
    <w:rsid w:val="5CF63F2A"/>
    <w:rsid w:val="5E7E06BD"/>
    <w:rsid w:val="60330C96"/>
    <w:rsid w:val="609F35CD"/>
    <w:rsid w:val="63D46B77"/>
    <w:rsid w:val="649B67A9"/>
    <w:rsid w:val="653067BE"/>
    <w:rsid w:val="664B58E5"/>
    <w:rsid w:val="67600811"/>
    <w:rsid w:val="6FA346FC"/>
    <w:rsid w:val="77130E72"/>
    <w:rsid w:val="7AC30695"/>
    <w:rsid w:val="7EDE39FB"/>
    <w:rsid w:val="7F30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1415</Words>
  <Characters>1479</Characters>
  <Lines>0</Lines>
  <Paragraphs>0</Paragraphs>
  <TotalTime>32</TotalTime>
  <ScaleCrop>false</ScaleCrop>
  <LinksUpToDate>false</LinksUpToDate>
  <CharactersWithSpaces>1495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2023-10-07T07:31:03Z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19FC9307FF984577829B05E85685EF44</vt:lpwstr>
  </property>
</Properties>
</file>