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昆明市呈贡区司法局2022年度</w:t>
      </w:r>
      <w:r>
        <w:rPr>
          <w:rFonts w:hint="eastAsia" w:ascii="方正小标宋简体" w:hAnsi="方正小标宋简体" w:eastAsia="方正小标宋简体" w:cs="方正小标宋简体"/>
          <w:sz w:val="44"/>
          <w:szCs w:val="44"/>
          <w:highlight w:val="none"/>
        </w:rPr>
        <w:t>项目支出绩效</w:t>
      </w:r>
      <w:r>
        <w:rPr>
          <w:rFonts w:hint="eastAsia" w:ascii="方正小标宋简体" w:hAnsi="方正小标宋简体" w:eastAsia="方正小标宋简体" w:cs="方正小标宋简体"/>
          <w:sz w:val="44"/>
          <w:szCs w:val="44"/>
          <w:highlight w:val="none"/>
          <w:lang w:eastAsia="zh-CN"/>
        </w:rPr>
        <w:t>自评</w:t>
      </w:r>
      <w:r>
        <w:rPr>
          <w:rFonts w:hint="eastAsia" w:ascii="方正小标宋简体" w:hAnsi="方正小标宋简体" w:eastAsia="方正小标宋简体" w:cs="方正小标宋简体"/>
          <w:sz w:val="44"/>
          <w:szCs w:val="44"/>
          <w:highlight w:val="none"/>
        </w:rPr>
        <w:t>报告</w:t>
      </w:r>
      <w:r>
        <w:rPr>
          <w:rFonts w:hint="eastAsia" w:ascii="方正小标宋简体" w:hAnsi="方正小标宋简体" w:eastAsia="方正小标宋简体" w:cs="方正小标宋简体"/>
          <w:sz w:val="44"/>
          <w:szCs w:val="44"/>
          <w:highlight w:val="none"/>
          <w:lang w:eastAsia="zh-CN"/>
        </w:rPr>
        <w:t>（200万元以下的项目）</w:t>
      </w:r>
    </w:p>
    <w:p>
      <w:pPr>
        <w:spacing w:line="600" w:lineRule="exact"/>
        <w:ind w:firstLine="594" w:firstLineChars="200"/>
        <w:rPr>
          <w:rFonts w:ascii="仿宋_GB2312"/>
          <w:b/>
          <w:szCs w:val="32"/>
          <w:highlight w:val="none"/>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highlight w:val="none"/>
        </w:rPr>
      </w:pPr>
      <w:r>
        <w:rPr>
          <w:rFonts w:hint="eastAsia" w:ascii="黑体" w:eastAsia="黑体"/>
          <w:szCs w:val="32"/>
          <w:highlight w:val="none"/>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（一）项目概况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highlight w:val="none"/>
          <w14:textFill>
            <w14:solidFill>
              <w14:schemeClr w14:val="tx1"/>
            </w14:solidFill>
          </w14:textFill>
        </w:rPr>
      </w:pPr>
      <w:r>
        <w:rPr>
          <w:rFonts w:hint="eastAsia" w:ascii="仿宋_GB2312"/>
          <w:szCs w:val="32"/>
          <w:highlight w:val="none"/>
        </w:rPr>
        <w:t>根据要求，绩效评价对象为</w:t>
      </w:r>
      <w:r>
        <w:rPr>
          <w:rFonts w:hint="eastAsia" w:ascii="仿宋_GB2312"/>
          <w:szCs w:val="32"/>
          <w:highlight w:val="none"/>
          <w:lang w:eastAsia="zh-CN"/>
        </w:rPr>
        <w:t>2022</w:t>
      </w:r>
      <w:r>
        <w:rPr>
          <w:rFonts w:hint="eastAsia" w:ascii="仿宋_GB2312"/>
          <w:szCs w:val="32"/>
          <w:highlight w:val="none"/>
        </w:rPr>
        <w:t>年财政预算支出200万元以下的每个项目，按项目类别、属性合并</w:t>
      </w:r>
      <w:r>
        <w:rPr>
          <w:rFonts w:hint="eastAsia" w:ascii="仿宋_GB2312"/>
          <w:color w:val="000000" w:themeColor="text1"/>
          <w:szCs w:val="32"/>
          <w:highlight w:val="none"/>
          <w14:textFill>
            <w14:solidFill>
              <w14:schemeClr w14:val="tx1"/>
            </w14:solidFill>
          </w14:textFill>
        </w:rPr>
        <w:t>评价。</w:t>
      </w:r>
      <w:r>
        <w:rPr>
          <w:rFonts w:hint="eastAsia" w:ascii="仿宋_GB2312"/>
          <w:color w:val="000000" w:themeColor="text1"/>
          <w:szCs w:val="32"/>
          <w:highlight w:val="none"/>
          <w:lang w:eastAsia="zh-CN"/>
          <w14:textFill>
            <w14:solidFill>
              <w14:schemeClr w14:val="tx1"/>
            </w14:solidFill>
          </w14:textFill>
        </w:rPr>
        <w:t>2022</w:t>
      </w:r>
      <w:r>
        <w:rPr>
          <w:rFonts w:hint="eastAsia" w:ascii="仿宋_GB2312"/>
          <w:color w:val="000000" w:themeColor="text1"/>
          <w:szCs w:val="32"/>
          <w:highlight w:val="none"/>
          <w14:textFill>
            <w14:solidFill>
              <w14:schemeClr w14:val="tx1"/>
            </w14:solidFill>
          </w14:textFill>
        </w:rPr>
        <w:t>年，我局无单项在200万元以上的项目，单项200万元以下的项目</w:t>
      </w:r>
      <w:r>
        <w:rPr>
          <w:rFonts w:hint="eastAsia" w:ascii="仿宋_GB2312"/>
          <w:color w:val="000000" w:themeColor="text1"/>
          <w:szCs w:val="32"/>
          <w:highlight w:val="none"/>
          <w:lang w:eastAsia="zh-CN"/>
          <w14:textFill>
            <w14:solidFill>
              <w14:schemeClr w14:val="tx1"/>
            </w14:solidFill>
          </w14:textFill>
        </w:rPr>
        <w:t>共</w:t>
      </w:r>
      <w:r>
        <w:rPr>
          <w:rFonts w:hint="eastAsia" w:ascii="仿宋_GB2312"/>
          <w:color w:val="000000" w:themeColor="text1"/>
          <w:szCs w:val="32"/>
          <w:highlight w:val="none"/>
          <w:lang w:val="en-US" w:eastAsia="zh-CN"/>
          <w14:textFill>
            <w14:solidFill>
              <w14:schemeClr w14:val="tx1"/>
            </w14:solidFill>
          </w14:textFill>
        </w:rPr>
        <w:t>22</w:t>
      </w:r>
      <w:r>
        <w:rPr>
          <w:rFonts w:hint="eastAsia" w:ascii="仿宋_GB2312"/>
          <w:color w:val="000000" w:themeColor="text1"/>
          <w:szCs w:val="32"/>
          <w:highlight w:val="none"/>
          <w14:textFill>
            <w14:solidFill>
              <w14:schemeClr w14:val="tx1"/>
            </w14:solidFill>
          </w14:textFill>
        </w:rPr>
        <w:t>个，年初预算项目资金</w:t>
      </w:r>
      <w:r>
        <w:rPr>
          <w:rFonts w:hint="eastAsia" w:ascii="仿宋_GB2312"/>
          <w:color w:val="000000" w:themeColor="text1"/>
          <w:szCs w:val="32"/>
          <w:highlight w:val="none"/>
          <w:lang w:val="en-US" w:eastAsia="zh-CN"/>
          <w14:textFill>
            <w14:solidFill>
              <w14:schemeClr w14:val="tx1"/>
            </w14:solidFill>
          </w14:textFill>
        </w:rPr>
        <w:t>462.22</w:t>
      </w:r>
      <w:r>
        <w:rPr>
          <w:rFonts w:hint="eastAsia" w:ascii="仿宋_GB2312"/>
          <w:color w:val="000000" w:themeColor="text1"/>
          <w:szCs w:val="32"/>
          <w:highlight w:val="none"/>
          <w14:textFill>
            <w14:solidFill>
              <w14:schemeClr w14:val="tx1"/>
            </w14:solidFill>
          </w14:textFill>
        </w:rPr>
        <w:t>万元，</w:t>
      </w:r>
      <w:r>
        <w:rPr>
          <w:rFonts w:hint="eastAsia" w:ascii="仿宋_GB2312"/>
          <w:color w:val="000000" w:themeColor="text1"/>
          <w:szCs w:val="32"/>
          <w:highlight w:val="none"/>
          <w:lang w:eastAsia="zh-CN"/>
          <w14:textFill>
            <w14:solidFill>
              <w14:schemeClr w14:val="tx1"/>
            </w14:solidFill>
          </w14:textFill>
        </w:rPr>
        <w:t>调整预算资金（含中央转移支付资金）</w:t>
      </w:r>
      <w:r>
        <w:rPr>
          <w:rFonts w:hint="eastAsia" w:ascii="仿宋_GB2312"/>
          <w:color w:val="000000" w:themeColor="text1"/>
          <w:szCs w:val="32"/>
          <w:highlight w:val="none"/>
          <w:lang w:val="en-US" w:eastAsia="zh-CN"/>
          <w14:textFill>
            <w14:solidFill>
              <w14:schemeClr w14:val="tx1"/>
            </w14:solidFill>
          </w14:textFill>
        </w:rPr>
        <w:t>309.88</w:t>
      </w:r>
      <w:r>
        <w:rPr>
          <w:rFonts w:hint="eastAsia" w:ascii="仿宋_GB2312"/>
          <w:color w:val="000000" w:themeColor="text1"/>
          <w:szCs w:val="32"/>
          <w:highlight w:val="none"/>
          <w14:textFill>
            <w14:solidFill>
              <w14:schemeClr w14:val="tx1"/>
            </w14:solidFill>
          </w14:textFill>
        </w:rPr>
        <w:t>万元，实际支出</w:t>
      </w:r>
      <w:r>
        <w:rPr>
          <w:rFonts w:hint="eastAsia" w:ascii="仿宋_GB2312"/>
          <w:color w:val="000000" w:themeColor="text1"/>
          <w:szCs w:val="32"/>
          <w:highlight w:val="none"/>
          <w:lang w:val="en-US" w:eastAsia="zh-CN"/>
          <w14:textFill>
            <w14:solidFill>
              <w14:schemeClr w14:val="tx1"/>
            </w14:solidFill>
          </w14:textFill>
        </w:rPr>
        <w:t>309.88</w:t>
      </w:r>
      <w:r>
        <w:rPr>
          <w:rFonts w:hint="eastAsia" w:ascii="仿宋_GB2312"/>
          <w:color w:val="000000" w:themeColor="text1"/>
          <w:szCs w:val="32"/>
          <w:highlight w:val="none"/>
          <w14:textFill>
            <w14:solidFill>
              <w14:schemeClr w14:val="tx1"/>
            </w14:solidFill>
          </w14:textFill>
        </w:rPr>
        <w:t>万元，执行率100%。其中区级财政安排资金项目</w:t>
      </w:r>
      <w:r>
        <w:rPr>
          <w:rFonts w:hint="eastAsia" w:ascii="仿宋_GB2312"/>
          <w:color w:val="000000" w:themeColor="text1"/>
          <w:szCs w:val="32"/>
          <w:highlight w:val="none"/>
          <w:lang w:val="en-US" w:eastAsia="zh-CN"/>
          <w14:textFill>
            <w14:solidFill>
              <w14:schemeClr w14:val="tx1"/>
            </w14:solidFill>
          </w14:textFill>
        </w:rPr>
        <w:t>14</w:t>
      </w:r>
      <w:r>
        <w:rPr>
          <w:rFonts w:hint="eastAsia" w:ascii="仿宋_GB2312"/>
          <w:color w:val="000000" w:themeColor="text1"/>
          <w:szCs w:val="32"/>
          <w:highlight w:val="none"/>
          <w14:textFill>
            <w14:solidFill>
              <w14:schemeClr w14:val="tx1"/>
            </w14:solidFill>
          </w14:textFill>
        </w:rPr>
        <w:t>个，资来源共计</w:t>
      </w:r>
      <w:r>
        <w:rPr>
          <w:rFonts w:hint="eastAsia" w:ascii="仿宋_GB2312"/>
          <w:color w:val="000000" w:themeColor="text1"/>
          <w:szCs w:val="32"/>
          <w:highlight w:val="none"/>
          <w:lang w:val="en-US" w:eastAsia="zh-CN"/>
          <w14:textFill>
            <w14:solidFill>
              <w14:schemeClr w14:val="tx1"/>
            </w14:solidFill>
          </w14:textFill>
        </w:rPr>
        <w:t>233.97</w:t>
      </w:r>
      <w:r>
        <w:rPr>
          <w:rFonts w:hint="eastAsia" w:ascii="仿宋_GB2312"/>
          <w:color w:val="000000" w:themeColor="text1"/>
          <w:szCs w:val="32"/>
          <w:highlight w:val="none"/>
          <w14:textFill>
            <w14:solidFill>
              <w14:schemeClr w14:val="tx1"/>
            </w14:solidFill>
          </w14:textFill>
        </w:rPr>
        <w:t>万元，实际支出</w:t>
      </w:r>
      <w:r>
        <w:rPr>
          <w:rFonts w:hint="eastAsia" w:ascii="仿宋_GB2312"/>
          <w:color w:val="000000" w:themeColor="text1"/>
          <w:szCs w:val="32"/>
          <w:highlight w:val="none"/>
          <w:lang w:val="en-US" w:eastAsia="zh-CN"/>
          <w14:textFill>
            <w14:solidFill>
              <w14:schemeClr w14:val="tx1"/>
            </w14:solidFill>
          </w14:textFill>
        </w:rPr>
        <w:t>233.97+</w:t>
      </w:r>
      <w:r>
        <w:rPr>
          <w:rFonts w:hint="eastAsia" w:ascii="仿宋_GB2312"/>
          <w:color w:val="000000" w:themeColor="text1"/>
          <w:szCs w:val="32"/>
          <w:highlight w:val="none"/>
          <w14:textFill>
            <w14:solidFill>
              <w14:schemeClr w14:val="tx1"/>
            </w14:solidFill>
          </w14:textFill>
        </w:rPr>
        <w:t>万元，执行率</w:t>
      </w:r>
      <w:r>
        <w:rPr>
          <w:rFonts w:hint="eastAsia" w:ascii="仿宋_GB2312"/>
          <w:color w:val="000000" w:themeColor="text1"/>
          <w:szCs w:val="32"/>
          <w:highlight w:val="none"/>
          <w:lang w:val="en-US" w:eastAsia="zh-CN"/>
          <w14:textFill>
            <w14:solidFill>
              <w14:schemeClr w14:val="tx1"/>
            </w14:solidFill>
          </w14:textFill>
        </w:rPr>
        <w:t>100</w:t>
      </w:r>
      <w:r>
        <w:rPr>
          <w:rFonts w:hint="eastAsia" w:ascii="仿宋_GB2312"/>
          <w:color w:val="000000" w:themeColor="text1"/>
          <w:szCs w:val="32"/>
          <w:highlight w:val="none"/>
          <w14:textFill>
            <w14:solidFill>
              <w14:schemeClr w14:val="tx1"/>
            </w14:solidFill>
          </w14:textFill>
        </w:rPr>
        <w:t>%；上对下专项转移支付资金项目</w:t>
      </w:r>
      <w:r>
        <w:rPr>
          <w:rFonts w:hint="eastAsia" w:ascii="仿宋_GB2312"/>
          <w:color w:val="000000" w:themeColor="text1"/>
          <w:szCs w:val="32"/>
          <w:highlight w:val="none"/>
          <w:lang w:val="en-US" w:eastAsia="zh-CN"/>
          <w14:textFill>
            <w14:solidFill>
              <w14:schemeClr w14:val="tx1"/>
            </w14:solidFill>
          </w14:textFill>
        </w:rPr>
        <w:t>8</w:t>
      </w:r>
      <w:r>
        <w:rPr>
          <w:rFonts w:hint="eastAsia" w:ascii="仿宋_GB2312"/>
          <w:color w:val="000000" w:themeColor="text1"/>
          <w:szCs w:val="32"/>
          <w:highlight w:val="none"/>
          <w14:textFill>
            <w14:solidFill>
              <w14:schemeClr w14:val="tx1"/>
            </w14:solidFill>
          </w14:textFill>
        </w:rPr>
        <w:t>个，资金来源共计</w:t>
      </w:r>
      <w:r>
        <w:rPr>
          <w:rFonts w:hint="eastAsia" w:ascii="仿宋_GB2312"/>
          <w:color w:val="000000" w:themeColor="text1"/>
          <w:szCs w:val="32"/>
          <w:highlight w:val="none"/>
          <w:lang w:val="en-US" w:eastAsia="zh-CN"/>
          <w14:textFill>
            <w14:solidFill>
              <w14:schemeClr w14:val="tx1"/>
            </w14:solidFill>
          </w14:textFill>
        </w:rPr>
        <w:t>75.91</w:t>
      </w:r>
      <w:r>
        <w:rPr>
          <w:rFonts w:hint="eastAsia" w:ascii="仿宋_GB2312"/>
          <w:color w:val="000000" w:themeColor="text1"/>
          <w:szCs w:val="32"/>
          <w:highlight w:val="none"/>
          <w14:textFill>
            <w14:solidFill>
              <w14:schemeClr w14:val="tx1"/>
            </w14:solidFill>
          </w14:textFill>
        </w:rPr>
        <w:t>万元，实际支出</w:t>
      </w:r>
      <w:r>
        <w:rPr>
          <w:rFonts w:hint="eastAsia" w:ascii="仿宋_GB2312"/>
          <w:color w:val="000000" w:themeColor="text1"/>
          <w:szCs w:val="32"/>
          <w:highlight w:val="none"/>
          <w:lang w:val="en-US" w:eastAsia="zh-CN"/>
          <w14:textFill>
            <w14:solidFill>
              <w14:schemeClr w14:val="tx1"/>
            </w14:solidFill>
          </w14:textFill>
        </w:rPr>
        <w:t>75.91</w:t>
      </w:r>
      <w:r>
        <w:rPr>
          <w:rFonts w:hint="eastAsia" w:ascii="仿宋_GB2312"/>
          <w:color w:val="000000" w:themeColor="text1"/>
          <w:szCs w:val="32"/>
          <w:highlight w:val="none"/>
          <w14:textFill>
            <w14:solidFill>
              <w14:schemeClr w14:val="tx1"/>
            </w14:solidFill>
          </w14:textFill>
        </w:rPr>
        <w:t>万元，执行率</w:t>
      </w:r>
      <w:r>
        <w:rPr>
          <w:rFonts w:hint="eastAsia" w:ascii="仿宋_GB2312"/>
          <w:color w:val="000000" w:themeColor="text1"/>
          <w:szCs w:val="32"/>
          <w:highlight w:val="none"/>
          <w:lang w:val="en-US" w:eastAsia="zh-CN"/>
          <w14:textFill>
            <w14:solidFill>
              <w14:schemeClr w14:val="tx1"/>
            </w14:solidFill>
          </w14:textFill>
        </w:rPr>
        <w:t>100</w:t>
      </w:r>
      <w:r>
        <w:rPr>
          <w:rFonts w:hint="eastAsia" w:ascii="仿宋_GB2312"/>
          <w:color w:val="000000" w:themeColor="text1"/>
          <w:szCs w:val="32"/>
          <w:highlight w:val="none"/>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（二）项目绩效目标</w:t>
      </w:r>
      <w:r>
        <w:rPr>
          <w:rFonts w:hint="eastAsia" w:ascii="楷体_GB2312" w:hAnsi="楷体_GB2312" w:eastAsia="楷体_GB2312" w:cs="楷体_GB2312"/>
          <w:color w:val="000000" w:themeColor="text1"/>
          <w:szCs w:val="32"/>
          <w:highlight w:val="none"/>
          <w:lang w:eastAsia="zh-CN"/>
          <w14:textFill>
            <w14:solidFill>
              <w14:schemeClr w14:val="tx1"/>
            </w14:solidFill>
          </w14:textFill>
        </w:rPr>
        <w:t>设定及指标完成情况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color w:val="000000" w:themeColor="text1"/>
          <w:szCs w:val="32"/>
          <w:highlight w:val="none"/>
          <w14:textFill>
            <w14:solidFill>
              <w14:schemeClr w14:val="tx1"/>
            </w14:solidFill>
          </w14:textFill>
        </w:rPr>
        <w:t>呈贡区司法局绩效目标是按规定用途使用各专项经费</w:t>
      </w:r>
      <w:r>
        <w:rPr>
          <w:rFonts w:hint="eastAsia" w:ascii="仿宋_GB2312"/>
          <w:szCs w:val="32"/>
          <w:highlight w:val="none"/>
        </w:rPr>
        <w:t>，保障司法行政机关及</w:t>
      </w:r>
      <w:r>
        <w:rPr>
          <w:rFonts w:hint="eastAsia" w:ascii="仿宋_GB2312"/>
          <w:szCs w:val="32"/>
          <w:highlight w:val="none"/>
          <w:lang w:val="en-US" w:eastAsia="zh-CN"/>
        </w:rPr>
        <w:t>7</w:t>
      </w:r>
      <w:r>
        <w:rPr>
          <w:rFonts w:hint="eastAsia" w:ascii="仿宋_GB2312"/>
          <w:szCs w:val="32"/>
          <w:highlight w:val="none"/>
        </w:rPr>
        <w:t>个司法所普法宣传、人民调解、法律援助、社区矫正、公证律师、依法行政指导监督、依法治区等各项业务工作开展</w:t>
      </w:r>
      <w:r>
        <w:rPr>
          <w:rFonts w:hint="eastAsia" w:ascii="仿宋_GB2312"/>
          <w:szCs w:val="32"/>
          <w:highlight w:val="none"/>
          <w:lang w:eastAsia="zh-CN"/>
        </w:rPr>
        <w:t>，年底完成项目支付。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黑体" w:eastAsia="黑体"/>
          <w:szCs w:val="32"/>
          <w:highlight w:val="none"/>
        </w:rPr>
      </w:pPr>
      <w:r>
        <w:rPr>
          <w:rFonts w:hint="eastAsia" w:ascii="黑体" w:eastAsia="黑体"/>
          <w:szCs w:val="32"/>
          <w:highlight w:val="none"/>
        </w:rPr>
        <w:t>二、</w:t>
      </w:r>
      <w:r>
        <w:rPr>
          <w:rFonts w:hint="eastAsia" w:ascii="黑体" w:eastAsia="黑体"/>
          <w:szCs w:val="32"/>
          <w:highlight w:val="none"/>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1.项目资金到位情况分析：预算支出200万元以下的项目有</w:t>
      </w:r>
      <w:r>
        <w:rPr>
          <w:rFonts w:hint="eastAsia" w:ascii="仿宋_GB2312"/>
          <w:szCs w:val="32"/>
          <w:highlight w:val="none"/>
          <w:lang w:val="en-US" w:eastAsia="zh-CN"/>
        </w:rPr>
        <w:t>22</w:t>
      </w:r>
      <w:r>
        <w:rPr>
          <w:rFonts w:hint="eastAsia" w:ascii="仿宋_GB2312"/>
          <w:szCs w:val="32"/>
          <w:highlight w:val="none"/>
        </w:rPr>
        <w:t>个，合计金额</w:t>
      </w:r>
      <w:r>
        <w:rPr>
          <w:rFonts w:hint="eastAsia" w:ascii="仿宋_GB2312"/>
          <w:szCs w:val="32"/>
          <w:highlight w:val="none"/>
          <w:lang w:val="en-US" w:eastAsia="zh-CN"/>
        </w:rPr>
        <w:t>309.88</w:t>
      </w:r>
      <w:r>
        <w:rPr>
          <w:rFonts w:hint="eastAsia" w:ascii="仿宋_GB2312"/>
          <w:szCs w:val="32"/>
          <w:highlight w:val="none"/>
        </w:rPr>
        <w:t>万元，所有经费均是财政预算资金，是一年完成项目，各项资金总计</w:t>
      </w:r>
      <w:r>
        <w:rPr>
          <w:rFonts w:hint="eastAsia" w:ascii="仿宋_GB2312"/>
          <w:szCs w:val="32"/>
          <w:highlight w:val="none"/>
          <w:lang w:val="en-US" w:eastAsia="zh-CN"/>
        </w:rPr>
        <w:t>309.88</w:t>
      </w:r>
      <w:r>
        <w:rPr>
          <w:rFonts w:hint="eastAsia" w:ascii="仿宋_GB2312"/>
          <w:szCs w:val="32"/>
          <w:highlight w:val="none"/>
        </w:rPr>
        <w:t>万元全部到位，资金到位率为100%。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2.项目资金使用情况分析：200万元以下的项目经费共计</w:t>
      </w:r>
      <w:r>
        <w:rPr>
          <w:rFonts w:hint="eastAsia" w:ascii="仿宋_GB2312"/>
          <w:szCs w:val="32"/>
          <w:highlight w:val="none"/>
          <w:lang w:val="en-US" w:eastAsia="zh-CN"/>
        </w:rPr>
        <w:t>309.88</w:t>
      </w:r>
      <w:r>
        <w:rPr>
          <w:rFonts w:hint="eastAsia" w:ascii="仿宋_GB2312"/>
          <w:szCs w:val="32"/>
          <w:highlight w:val="none"/>
        </w:rPr>
        <w:t>万元，支出</w:t>
      </w:r>
      <w:r>
        <w:rPr>
          <w:rFonts w:hint="eastAsia" w:ascii="仿宋_GB2312"/>
          <w:szCs w:val="32"/>
          <w:highlight w:val="none"/>
          <w:lang w:val="en-US" w:eastAsia="zh-CN"/>
        </w:rPr>
        <w:t>309.88</w:t>
      </w:r>
      <w:r>
        <w:rPr>
          <w:rFonts w:hint="eastAsia" w:ascii="仿宋_GB2312"/>
          <w:szCs w:val="32"/>
          <w:highlight w:val="none"/>
        </w:rPr>
        <w:t>万元，总体执行率100%。各专项经费具体使用情况如下：</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b/>
          <w:bCs/>
          <w:szCs w:val="32"/>
          <w:highlight w:val="none"/>
        </w:rPr>
      </w:pPr>
      <w:r>
        <w:rPr>
          <w:rFonts w:hint="eastAsia" w:ascii="仿宋_GB2312"/>
          <w:b w:val="0"/>
          <w:bCs w:val="0"/>
          <w:szCs w:val="32"/>
          <w:highlight w:val="none"/>
        </w:rPr>
        <w:t>（1）区级财政安排资金项目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1.人民调解“以奖代补”区级配套经费支出</w:t>
      </w:r>
      <w:r>
        <w:rPr>
          <w:rFonts w:hint="eastAsia" w:ascii="仿宋_GB2312"/>
          <w:szCs w:val="32"/>
          <w:highlight w:val="none"/>
          <w:lang w:val="en-US" w:eastAsia="zh-CN"/>
        </w:rPr>
        <w:t>43.02</w:t>
      </w:r>
      <w:r>
        <w:rPr>
          <w:rFonts w:hint="eastAsia" w:ascii="仿宋_GB2312"/>
          <w:szCs w:val="32"/>
          <w:highlight w:val="none"/>
        </w:rPr>
        <w:t>万元，主要用于开展人民调解“以奖代补”案件补贴兑付、及“以奖代补”培训支出；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2.办案业务经费（基层）支出</w:t>
      </w:r>
      <w:r>
        <w:rPr>
          <w:rFonts w:hint="eastAsia" w:ascii="仿宋_GB2312"/>
          <w:szCs w:val="32"/>
          <w:highlight w:val="none"/>
          <w:lang w:val="en-US" w:eastAsia="zh-CN"/>
        </w:rPr>
        <w:t>11.89</w:t>
      </w:r>
      <w:r>
        <w:rPr>
          <w:rFonts w:hint="eastAsia" w:ascii="仿宋_GB2312"/>
          <w:szCs w:val="32"/>
          <w:highlight w:val="none"/>
        </w:rPr>
        <w:t>万元，用于普法宣传、法律援助、司法所等基层业务支出；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3</w:t>
      </w:r>
      <w:r>
        <w:rPr>
          <w:rFonts w:hint="eastAsia" w:ascii="仿宋_GB2312"/>
          <w:szCs w:val="32"/>
          <w:highlight w:val="none"/>
        </w:rPr>
        <w:t>.社区矫正工作经费支出</w:t>
      </w:r>
      <w:r>
        <w:rPr>
          <w:rFonts w:hint="eastAsia" w:ascii="仿宋_GB2312"/>
          <w:szCs w:val="32"/>
          <w:highlight w:val="none"/>
          <w:lang w:val="en-US" w:eastAsia="zh-CN"/>
        </w:rPr>
        <w:t>1.76</w:t>
      </w:r>
      <w:r>
        <w:rPr>
          <w:rFonts w:hint="eastAsia" w:ascii="仿宋_GB2312"/>
          <w:szCs w:val="32"/>
          <w:highlight w:val="none"/>
        </w:rPr>
        <w:t>万元，用于社区矫正日常工作，社区矫正人员劳动租车、心理咨询、集中教育等工作经费支出；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4</w:t>
      </w:r>
      <w:r>
        <w:rPr>
          <w:rFonts w:hint="eastAsia" w:ascii="仿宋_GB2312"/>
          <w:szCs w:val="32"/>
          <w:highlight w:val="none"/>
        </w:rPr>
        <w:t>.安置帮教工作经费支出</w:t>
      </w:r>
      <w:r>
        <w:rPr>
          <w:rFonts w:hint="eastAsia" w:ascii="仿宋_GB2312"/>
          <w:szCs w:val="32"/>
          <w:highlight w:val="none"/>
          <w:lang w:val="en-US" w:eastAsia="zh-CN"/>
        </w:rPr>
        <w:t>12.38</w:t>
      </w:r>
      <w:r>
        <w:rPr>
          <w:rFonts w:hint="eastAsia" w:ascii="仿宋_GB2312"/>
          <w:szCs w:val="32"/>
          <w:highlight w:val="none"/>
        </w:rPr>
        <w:t>万元，用于社区矫正及刑释人员劳动场地管养及日常运行支出；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5</w:t>
      </w:r>
      <w:r>
        <w:rPr>
          <w:rFonts w:hint="eastAsia" w:ascii="仿宋_GB2312"/>
          <w:szCs w:val="32"/>
          <w:highlight w:val="none"/>
        </w:rPr>
        <w:t>.人民调解联动协作业务经费支出</w:t>
      </w:r>
      <w:r>
        <w:rPr>
          <w:rFonts w:hint="eastAsia" w:ascii="仿宋_GB2312"/>
          <w:szCs w:val="32"/>
          <w:highlight w:val="none"/>
          <w:lang w:val="en-US" w:eastAsia="zh-CN"/>
        </w:rPr>
        <w:t>3.67</w:t>
      </w:r>
      <w:r>
        <w:rPr>
          <w:rFonts w:hint="eastAsia" w:ascii="仿宋_GB2312"/>
          <w:szCs w:val="32"/>
          <w:highlight w:val="none"/>
        </w:rPr>
        <w:t>万元，用于非编人员参与人民调解化解信访问题值班补贴及“包案化解”奖励金兑付；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6</w:t>
      </w:r>
      <w:r>
        <w:rPr>
          <w:rFonts w:hint="eastAsia" w:ascii="仿宋_GB2312"/>
          <w:szCs w:val="32"/>
          <w:highlight w:val="none"/>
        </w:rPr>
        <w:t>.普法工作经费支出</w:t>
      </w:r>
      <w:r>
        <w:rPr>
          <w:rFonts w:hint="eastAsia" w:ascii="仿宋_GB2312"/>
          <w:szCs w:val="32"/>
          <w:highlight w:val="none"/>
          <w:lang w:val="en-US" w:eastAsia="zh-CN"/>
        </w:rPr>
        <w:t>2.52</w:t>
      </w:r>
      <w:r>
        <w:rPr>
          <w:rFonts w:hint="eastAsia" w:ascii="仿宋_GB2312"/>
          <w:szCs w:val="32"/>
          <w:highlight w:val="none"/>
        </w:rPr>
        <w:t>万元，用于开展“法律六进”、普法专题日、专项普法等活动制作宣传资料、宣传用品，全区普法骨干培训等活动支出；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7</w:t>
      </w:r>
      <w:r>
        <w:rPr>
          <w:rFonts w:hint="eastAsia" w:ascii="仿宋_GB2312"/>
          <w:szCs w:val="32"/>
          <w:highlight w:val="none"/>
        </w:rPr>
        <w:t>.公证律师管理工作经费支出</w:t>
      </w:r>
      <w:r>
        <w:rPr>
          <w:rFonts w:hint="eastAsia" w:ascii="仿宋_GB2312"/>
          <w:szCs w:val="32"/>
          <w:highlight w:val="none"/>
          <w:lang w:val="en-US" w:eastAsia="zh-CN"/>
        </w:rPr>
        <w:t>2.83</w:t>
      </w:r>
      <w:r>
        <w:rPr>
          <w:rFonts w:hint="eastAsia" w:ascii="仿宋_GB2312"/>
          <w:szCs w:val="32"/>
          <w:highlight w:val="none"/>
        </w:rPr>
        <w:t>万元，用于购置公证办证系统、办公设备，开展律师及公证业务</w:t>
      </w:r>
      <w:r>
        <w:rPr>
          <w:rFonts w:hint="eastAsia" w:ascii="仿宋_GB2312"/>
          <w:szCs w:val="32"/>
          <w:highlight w:val="none"/>
          <w:lang w:eastAsia="zh-CN"/>
        </w:rPr>
        <w:t>等</w:t>
      </w:r>
      <w:r>
        <w:rPr>
          <w:rFonts w:hint="eastAsia" w:ascii="仿宋_GB2312"/>
          <w:szCs w:val="32"/>
          <w:highlight w:val="none"/>
        </w:rPr>
        <w:t>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8</w:t>
      </w:r>
      <w:r>
        <w:rPr>
          <w:rFonts w:hint="eastAsia" w:ascii="仿宋_GB2312"/>
          <w:szCs w:val="32"/>
          <w:highlight w:val="none"/>
        </w:rPr>
        <w:t>.区级配套法律援助专项经费支出</w:t>
      </w:r>
      <w:r>
        <w:rPr>
          <w:rFonts w:hint="eastAsia" w:ascii="仿宋_GB2312"/>
          <w:szCs w:val="32"/>
          <w:highlight w:val="none"/>
          <w:lang w:val="en-US" w:eastAsia="zh-CN"/>
        </w:rPr>
        <w:t>9.02</w:t>
      </w:r>
      <w:r>
        <w:rPr>
          <w:rFonts w:hint="eastAsia" w:ascii="仿宋_GB2312"/>
          <w:szCs w:val="32"/>
          <w:highlight w:val="none"/>
        </w:rPr>
        <w:t>万元，用于兑付法律援助案件补贴；</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9</w:t>
      </w:r>
      <w:r>
        <w:rPr>
          <w:rFonts w:hint="eastAsia" w:ascii="仿宋_GB2312"/>
          <w:szCs w:val="32"/>
          <w:highlight w:val="none"/>
        </w:rPr>
        <w:t>.业务装备经费支出</w:t>
      </w:r>
      <w:r>
        <w:rPr>
          <w:rFonts w:hint="eastAsia" w:ascii="仿宋_GB2312"/>
          <w:szCs w:val="32"/>
          <w:highlight w:val="none"/>
          <w:lang w:val="en-US" w:eastAsia="zh-CN"/>
        </w:rPr>
        <w:t>4.38</w:t>
      </w:r>
      <w:r>
        <w:rPr>
          <w:rFonts w:hint="eastAsia" w:ascii="仿宋_GB2312"/>
          <w:szCs w:val="32"/>
          <w:highlight w:val="none"/>
        </w:rPr>
        <w:t>万元，</w:t>
      </w:r>
      <w:r>
        <w:rPr>
          <w:rFonts w:hint="eastAsia" w:ascii="仿宋_GB2312"/>
          <w:szCs w:val="32"/>
          <w:highlight w:val="none"/>
          <w:lang w:eastAsia="zh-CN"/>
        </w:rPr>
        <w:t>用于购买办公家具及设备</w:t>
      </w:r>
      <w:r>
        <w:rPr>
          <w:rFonts w:hint="eastAsia" w:ascii="仿宋_GB231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1</w:t>
      </w:r>
      <w:r>
        <w:rPr>
          <w:rFonts w:hint="eastAsia" w:ascii="仿宋_GB2312"/>
          <w:szCs w:val="32"/>
          <w:highlight w:val="none"/>
          <w:lang w:val="en-US" w:eastAsia="zh-CN"/>
        </w:rPr>
        <w:t>0</w:t>
      </w:r>
      <w:r>
        <w:rPr>
          <w:rFonts w:hint="eastAsia" w:ascii="仿宋_GB2312"/>
          <w:szCs w:val="32"/>
          <w:highlight w:val="none"/>
        </w:rPr>
        <w:t>.区委依法治区工作经费支出</w:t>
      </w:r>
      <w:r>
        <w:rPr>
          <w:rFonts w:hint="eastAsia" w:ascii="仿宋_GB2312"/>
          <w:szCs w:val="32"/>
          <w:highlight w:val="none"/>
          <w:lang w:val="en-US" w:eastAsia="zh-CN"/>
        </w:rPr>
        <w:t>45.93</w:t>
      </w:r>
      <w:r>
        <w:rPr>
          <w:rFonts w:hint="eastAsia" w:ascii="仿宋_GB2312"/>
          <w:szCs w:val="32"/>
          <w:highlight w:val="none"/>
        </w:rPr>
        <w:t>万元，用于支付</w:t>
      </w:r>
      <w:r>
        <w:rPr>
          <w:rFonts w:hint="eastAsia" w:ascii="仿宋_GB2312"/>
          <w:szCs w:val="32"/>
          <w:highlight w:val="none"/>
          <w:lang w:eastAsia="zh-CN"/>
        </w:rPr>
        <w:t>法治宣传栏制作、公共法律服务站法律服务、</w:t>
      </w:r>
      <w:r>
        <w:rPr>
          <w:rFonts w:hint="eastAsia" w:ascii="仿宋_GB2312"/>
          <w:szCs w:val="32"/>
          <w:highlight w:val="none"/>
        </w:rPr>
        <w:t>法治宣传外宣平台</w:t>
      </w:r>
      <w:r>
        <w:rPr>
          <w:rFonts w:hint="eastAsia" w:ascii="仿宋_GB2312"/>
          <w:szCs w:val="32"/>
          <w:highlight w:val="none"/>
          <w:lang w:eastAsia="zh-CN"/>
        </w:rPr>
        <w:t>外包费用等支出</w:t>
      </w:r>
      <w:r>
        <w:rPr>
          <w:rFonts w:hint="eastAsia" w:ascii="仿宋_GB231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1</w:t>
      </w:r>
      <w:r>
        <w:rPr>
          <w:rFonts w:hint="eastAsia" w:ascii="仿宋_GB2312"/>
          <w:szCs w:val="32"/>
          <w:highlight w:val="none"/>
          <w:lang w:val="en-US" w:eastAsia="zh-CN"/>
        </w:rPr>
        <w:t>1</w:t>
      </w:r>
      <w:r>
        <w:rPr>
          <w:rFonts w:hint="eastAsia" w:ascii="仿宋_GB2312"/>
          <w:szCs w:val="32"/>
          <w:highlight w:val="none"/>
        </w:rPr>
        <w:t>.法律顾问费支出</w:t>
      </w:r>
      <w:r>
        <w:rPr>
          <w:rFonts w:hint="eastAsia" w:ascii="仿宋_GB2312"/>
          <w:szCs w:val="32"/>
          <w:highlight w:val="none"/>
          <w:lang w:val="en-US" w:eastAsia="zh-CN"/>
        </w:rPr>
        <w:t>48</w:t>
      </w:r>
      <w:r>
        <w:rPr>
          <w:rFonts w:hint="eastAsia" w:ascii="仿宋_GB2312"/>
          <w:szCs w:val="32"/>
          <w:highlight w:val="none"/>
        </w:rPr>
        <w:t>万元，用于支付区委、区政府聘请法律顾问支出；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12</w:t>
      </w:r>
      <w:r>
        <w:rPr>
          <w:rFonts w:hint="eastAsia" w:ascii="仿宋_GB2312"/>
          <w:szCs w:val="32"/>
          <w:highlight w:val="none"/>
        </w:rPr>
        <w:t>.度假区（大渔片区）移交呈贡区社会事务经费（司法和综治维稳类）支出</w:t>
      </w:r>
      <w:r>
        <w:rPr>
          <w:rFonts w:hint="eastAsia" w:ascii="仿宋_GB2312"/>
          <w:szCs w:val="32"/>
          <w:highlight w:val="none"/>
          <w:lang w:val="en-US" w:eastAsia="zh-CN"/>
        </w:rPr>
        <w:t>17.47</w:t>
      </w:r>
      <w:r>
        <w:rPr>
          <w:rFonts w:hint="eastAsia" w:ascii="仿宋_GB2312"/>
          <w:szCs w:val="32"/>
          <w:highlight w:val="none"/>
        </w:rPr>
        <w:t>万元，用于拨付度假区（大渔片区）司法所司法和综治维稳类经费；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lang w:val="en-US" w:eastAsia="zh-CN"/>
        </w:rPr>
        <w:t>13</w:t>
      </w:r>
      <w:r>
        <w:rPr>
          <w:rFonts w:hint="eastAsia" w:ascii="仿宋_GB2312"/>
          <w:szCs w:val="32"/>
          <w:highlight w:val="none"/>
        </w:rPr>
        <w:t>.高新区（马金铺）片区社会事务经费（司法类）支出7万元，用于拨付高新区（马金铺）司法所司法类经费。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eastAsia="仿宋_GB2312"/>
          <w:szCs w:val="32"/>
          <w:highlight w:val="none"/>
          <w:lang w:val="en-US" w:eastAsia="zh-CN"/>
        </w:rPr>
      </w:pPr>
      <w:r>
        <w:rPr>
          <w:rFonts w:hint="eastAsia" w:ascii="仿宋_GB2312"/>
          <w:szCs w:val="32"/>
          <w:highlight w:val="none"/>
          <w:lang w:val="en-US" w:eastAsia="zh-CN"/>
        </w:rPr>
        <w:t>14.追加2019年—2021年辅助性岗位人员工资经费支出24.10万元，用于支付辅助性人员工资。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b w:val="0"/>
          <w:bCs w:val="0"/>
          <w:szCs w:val="32"/>
          <w:highlight w:val="none"/>
        </w:rPr>
      </w:pPr>
      <w:r>
        <w:rPr>
          <w:rFonts w:hint="eastAsia" w:ascii="仿宋_GB2312"/>
          <w:b w:val="0"/>
          <w:bCs w:val="0"/>
          <w:szCs w:val="32"/>
          <w:highlight w:val="none"/>
        </w:rPr>
        <w:t>（2）专项转移支付项目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1.昆明市</w:t>
      </w:r>
      <w:r>
        <w:rPr>
          <w:rFonts w:hint="eastAsia" w:ascii="仿宋_GB2312"/>
          <w:szCs w:val="32"/>
          <w:highlight w:val="none"/>
          <w:lang w:eastAsia="zh-CN"/>
        </w:rPr>
        <w:t>2021</w:t>
      </w:r>
      <w:r>
        <w:rPr>
          <w:rFonts w:hint="eastAsia" w:ascii="仿宋_GB2312"/>
          <w:szCs w:val="32"/>
          <w:highlight w:val="none"/>
        </w:rPr>
        <w:t>年人民调解“以奖代补”配套经费支出</w:t>
      </w:r>
      <w:r>
        <w:rPr>
          <w:rFonts w:hint="eastAsia" w:ascii="仿宋_GB2312"/>
          <w:szCs w:val="32"/>
          <w:highlight w:val="none"/>
          <w:lang w:val="en-US" w:eastAsia="zh-CN"/>
        </w:rPr>
        <w:t>5.03</w:t>
      </w:r>
      <w:r>
        <w:rPr>
          <w:rFonts w:hint="eastAsia" w:ascii="仿宋_GB2312"/>
          <w:szCs w:val="32"/>
          <w:highlight w:val="none"/>
        </w:rPr>
        <w:t>万元，用于</w:t>
      </w:r>
      <w:r>
        <w:rPr>
          <w:rFonts w:hint="eastAsia" w:ascii="仿宋_GB2312"/>
          <w:szCs w:val="32"/>
          <w:highlight w:val="none"/>
          <w:lang w:eastAsia="zh-CN"/>
        </w:rPr>
        <w:t>人民调解“以奖代补”案件补贴兑付</w:t>
      </w:r>
      <w:r>
        <w:rPr>
          <w:rFonts w:hint="eastAsia" w:ascii="仿宋_GB231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2.</w:t>
      </w:r>
      <w:r>
        <w:rPr>
          <w:rFonts w:hint="eastAsia" w:ascii="仿宋_GB2312" w:hAnsi="仿宋_GB2312" w:eastAsia="仿宋_GB2312" w:cs="仿宋_GB2312"/>
          <w:sz w:val="32"/>
          <w:szCs w:val="32"/>
          <w:lang w:val="en-US" w:eastAsia="zh-CN"/>
        </w:rPr>
        <w:t>2022年司法行政系统中央政法纪检监察转移支付资金（基本补助）支出2万元。用于拨付基层立法联系点-吴家营街道业务工作经费</w:t>
      </w:r>
      <w:r>
        <w:rPr>
          <w:rFonts w:hint="eastAsia" w:ascii="仿宋_GB2312"/>
          <w:szCs w:val="32"/>
          <w:highlight w:val="none"/>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color w:val="000000" w:themeColor="text1"/>
          <w:szCs w:val="32"/>
          <w:highlight w:val="none"/>
          <w:lang w:val="en-US" w:eastAsia="zh-CN"/>
          <w14:textFill>
            <w14:solidFill>
              <w14:schemeClr w14:val="tx1"/>
            </w14:solidFill>
          </w14:textFill>
        </w:rPr>
        <w:t>3</w:t>
      </w:r>
      <w:r>
        <w:rPr>
          <w:rFonts w:hint="eastAsia" w:ascii="仿宋_GB2312"/>
          <w:szCs w:val="32"/>
          <w:highlight w:val="none"/>
        </w:rPr>
        <w:t>.</w:t>
      </w:r>
      <w:r>
        <w:rPr>
          <w:rFonts w:hint="eastAsia" w:ascii="仿宋_GB2312"/>
          <w:szCs w:val="32"/>
          <w:highlight w:val="none"/>
          <w:lang w:eastAsia="zh-CN"/>
        </w:rPr>
        <w:t>（2021年结转）司法系统中央政法纪检监察转移支付（重点工作经费和法援经费）专项资金支出</w:t>
      </w:r>
      <w:r>
        <w:rPr>
          <w:rFonts w:hint="eastAsia" w:ascii="仿宋_GB2312"/>
          <w:szCs w:val="32"/>
          <w:highlight w:val="none"/>
          <w:lang w:val="en-US" w:eastAsia="zh-CN"/>
        </w:rPr>
        <w:t>9.04万元</w:t>
      </w:r>
      <w:r>
        <w:rPr>
          <w:rFonts w:hint="eastAsia" w:ascii="仿宋_GB2312"/>
          <w:szCs w:val="32"/>
          <w:highlight w:val="none"/>
        </w:rPr>
        <w:t>，用于支付“云智调”系统配套建设经费</w:t>
      </w:r>
      <w:r>
        <w:rPr>
          <w:rFonts w:hint="eastAsia" w:ascii="仿宋_GB2312"/>
          <w:szCs w:val="32"/>
          <w:highlight w:val="none"/>
          <w:lang w:val="en-US" w:eastAsia="zh-CN"/>
        </w:rPr>
        <w:t>2.01</w:t>
      </w:r>
      <w:r>
        <w:rPr>
          <w:rFonts w:hint="eastAsia" w:ascii="仿宋_GB2312"/>
          <w:szCs w:val="32"/>
          <w:highlight w:val="none"/>
        </w:rPr>
        <w:t>万元；社区矫正监管经费</w:t>
      </w:r>
      <w:r>
        <w:rPr>
          <w:rFonts w:hint="eastAsia" w:ascii="仿宋_GB2312"/>
          <w:szCs w:val="32"/>
          <w:highlight w:val="none"/>
          <w:lang w:val="en-US" w:eastAsia="zh-CN"/>
        </w:rPr>
        <w:t>6.86</w:t>
      </w:r>
      <w:r>
        <w:rPr>
          <w:rFonts w:hint="eastAsia" w:ascii="仿宋_GB2312"/>
          <w:szCs w:val="32"/>
          <w:highlight w:val="none"/>
        </w:rPr>
        <w:t>万元；诉前委派调解服务中心试点建设项目支出</w:t>
      </w:r>
      <w:r>
        <w:rPr>
          <w:rFonts w:hint="eastAsia" w:ascii="仿宋_GB2312"/>
          <w:szCs w:val="32"/>
          <w:highlight w:val="none"/>
          <w:lang w:val="en-US" w:eastAsia="zh-CN"/>
        </w:rPr>
        <w:t>0.17</w:t>
      </w:r>
      <w:r>
        <w:rPr>
          <w:rFonts w:hint="eastAsia" w:ascii="仿宋_GB2312"/>
          <w:szCs w:val="32"/>
          <w:highlight w:val="none"/>
        </w:rPr>
        <w:t>万元。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lang w:val="en-US" w:eastAsia="zh-CN"/>
        </w:rPr>
      </w:pPr>
      <w:r>
        <w:rPr>
          <w:rFonts w:hint="eastAsia" w:ascii="仿宋_GB2312"/>
          <w:color w:val="000000" w:themeColor="text1"/>
          <w:szCs w:val="32"/>
          <w:highlight w:val="none"/>
          <w:lang w:val="en-US" w:eastAsia="zh-CN"/>
          <w14:textFill>
            <w14:solidFill>
              <w14:schemeClr w14:val="tx1"/>
            </w14:solidFill>
          </w14:textFill>
        </w:rPr>
        <w:t>4</w:t>
      </w:r>
      <w:r>
        <w:rPr>
          <w:rFonts w:hint="eastAsia" w:ascii="仿宋_GB2312"/>
          <w:color w:val="0000FF"/>
          <w:szCs w:val="32"/>
          <w:highlight w:val="none"/>
          <w:lang w:val="en-US" w:eastAsia="zh-CN"/>
        </w:rPr>
        <w:t>.</w:t>
      </w:r>
      <w:r>
        <w:rPr>
          <w:rFonts w:hint="eastAsia" w:ascii="仿宋_GB2312"/>
          <w:szCs w:val="32"/>
          <w:highlight w:val="none"/>
          <w:lang w:val="en-US" w:eastAsia="zh-CN"/>
        </w:rPr>
        <w:t>2022年省对下（法援及大学生志愿者）司法专项资金支出4.45万元，用于兑付法律援助案件补贴1.45万元，其余3万元为大学生志愿者项目支出。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cs="仿宋_GB2312"/>
          <w:sz w:val="32"/>
          <w:szCs w:val="32"/>
          <w:lang w:val="en-US" w:eastAsia="zh-CN"/>
        </w:rPr>
      </w:pPr>
      <w:r>
        <w:rPr>
          <w:rFonts w:hint="eastAsia" w:ascii="仿宋_GB2312"/>
          <w:szCs w:val="32"/>
          <w:highlight w:val="none"/>
          <w:lang w:val="en-US" w:eastAsia="zh-CN"/>
        </w:rPr>
        <w:t>5.2022年司法行政系统中央政法纪检监察转移支付资金法律援助因素法分配补助经费</w:t>
      </w:r>
      <w:r>
        <w:rPr>
          <w:rFonts w:hint="eastAsia" w:ascii="仿宋_GB2312" w:hAnsi="仿宋_GB2312" w:eastAsia="仿宋_GB2312" w:cs="仿宋_GB2312"/>
          <w:sz w:val="32"/>
          <w:szCs w:val="32"/>
          <w:lang w:val="en-US" w:eastAsia="zh-CN"/>
        </w:rPr>
        <w:t>支出6.73万元，用于兑付法律援助案件补贴</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2022年司法行政系统中央政法纪检监察转移支付资金（尾款）支出6.1万元，用于兑付法律援助办案补贴</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2022年度司法</w:t>
      </w:r>
      <w:r>
        <w:rPr>
          <w:rFonts w:hint="eastAsia" w:ascii="仿宋_GB2312" w:hAnsi="仿宋_GB2312" w:eastAsia="仿宋_GB2312" w:cs="仿宋_GB2312"/>
          <w:sz w:val="32"/>
          <w:szCs w:val="32"/>
          <w:highlight w:val="none"/>
          <w:lang w:val="en-US" w:eastAsia="zh-CN"/>
        </w:rPr>
        <w:t>行政系统省级政法纪检监察转移支付资金支出9.19万元，用于普法宣传、司法行政业务承载网租赁费等基层业务支出</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lang w:val="en-US" w:eastAsia="zh-CN"/>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lang w:val="en-US" w:eastAsia="zh-CN"/>
        </w:rPr>
        <w:t>2022年司法行政系统中央政法纪检监察转移支付资金（重点业务经费）支出33.</w:t>
      </w:r>
      <w:r>
        <w:rPr>
          <w:rFonts w:hint="eastAsia" w:ascii="仿宋_GB2312" w:hAnsi="仿宋_GB2312" w:cs="仿宋_GB2312"/>
          <w:sz w:val="32"/>
          <w:szCs w:val="32"/>
          <w:lang w:val="en-US" w:eastAsia="zh-CN"/>
        </w:rPr>
        <w:t>37</w:t>
      </w:r>
      <w:r>
        <w:rPr>
          <w:rFonts w:hint="eastAsia" w:ascii="仿宋_GB2312" w:hAnsi="仿宋_GB2312" w:eastAsia="仿宋_GB2312" w:cs="仿宋_GB2312"/>
          <w:sz w:val="32"/>
          <w:szCs w:val="32"/>
          <w:lang w:val="en-US" w:eastAsia="zh-CN"/>
        </w:rPr>
        <w:t>万元。其中共法律服务补助经费——乡村法治通项目支出2万元，</w:t>
      </w:r>
      <w:r>
        <w:rPr>
          <w:rFonts w:hint="eastAsia" w:ascii="仿宋_GB2312" w:hAnsi="仿宋_GB2312" w:eastAsia="仿宋_GB2312" w:cs="仿宋_GB2312"/>
          <w:sz w:val="32"/>
          <w:szCs w:val="32"/>
          <w:highlight w:val="none"/>
          <w:lang w:val="en-US" w:eastAsia="zh-CN"/>
        </w:rPr>
        <w:t>用于拨付阳宗海风景名胜区乡村法务通经费补助</w:t>
      </w:r>
      <w:r>
        <w:rPr>
          <w:rFonts w:hint="eastAsia" w:ascii="仿宋_GB2312" w:hAnsi="仿宋_GB2312" w:eastAsia="仿宋_GB2312" w:cs="仿宋_GB2312"/>
          <w:sz w:val="32"/>
          <w:szCs w:val="32"/>
          <w:lang w:val="en-US" w:eastAsia="zh-CN"/>
        </w:rPr>
        <w:t>；基层司法所业务装备补助经费支出1.11万元，用于购置办公家具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社区矫正对象监管经费</w:t>
      </w:r>
      <w:r>
        <w:rPr>
          <w:rFonts w:hint="eastAsia" w:ascii="仿宋_GB2312" w:hAnsi="仿宋_GB2312" w:eastAsia="仿宋_GB2312" w:cs="仿宋_GB2312"/>
          <w:sz w:val="32"/>
          <w:szCs w:val="32"/>
          <w:highlight w:val="none"/>
          <w:lang w:val="en-US" w:eastAsia="zh-CN"/>
        </w:rPr>
        <w:t>支出</w:t>
      </w:r>
      <w:r>
        <w:rPr>
          <w:rFonts w:hint="eastAsia" w:ascii="仿宋_GB2312" w:hAnsi="仿宋_GB2312" w:cs="仿宋_GB2312"/>
          <w:sz w:val="32"/>
          <w:szCs w:val="32"/>
          <w:highlight w:val="none"/>
          <w:lang w:val="en-US" w:eastAsia="zh-CN"/>
        </w:rPr>
        <w:t>12.07</w:t>
      </w:r>
      <w:r>
        <w:rPr>
          <w:rFonts w:hint="eastAsia" w:ascii="仿宋_GB2312" w:hAnsi="仿宋_GB2312" w:eastAsia="仿宋_GB2312" w:cs="仿宋_GB2312"/>
          <w:sz w:val="32"/>
          <w:szCs w:val="32"/>
          <w:highlight w:val="none"/>
          <w:lang w:val="en-US" w:eastAsia="zh-CN"/>
        </w:rPr>
        <w:t>万元，用于社区矫正“在矫通”运营服务费及社区矫正相关工作经费支出</w:t>
      </w:r>
      <w:r>
        <w:rPr>
          <w:rFonts w:hint="eastAsia" w:ascii="仿宋_GB2312" w:hAnsi="仿宋_GB2312" w:eastAsia="仿宋_GB2312" w:cs="仿宋_GB2312"/>
          <w:sz w:val="32"/>
          <w:szCs w:val="32"/>
          <w:lang w:val="en-US" w:eastAsia="zh-CN"/>
        </w:rPr>
        <w:t>；行政复议与应诉规范化补助经费支出5万元，用于行政复议与应诉规范化建设支出；法律援助补助经费13.19万元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用于兑付法律援助案件补贴</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项目资金管理情况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szCs w:val="32"/>
          <w:highlight w:val="none"/>
          <w:lang w:eastAsia="zh-CN"/>
        </w:rPr>
      </w:pPr>
      <w:r>
        <w:rPr>
          <w:rFonts w:hint="eastAsia" w:ascii="仿宋_GB2312" w:hAnsi="仿宋_GB2312" w:cs="仿宋_GB2312"/>
          <w:szCs w:val="32"/>
          <w:highlight w:val="none"/>
          <w:lang w:eastAsia="zh-CN"/>
        </w:rPr>
        <w:t>本次绩效评价范围内的项目资金属于专款专用资金，每次大额资金的使用都是由呈贡区司法局党组会、行政办公会研究讨论，再由财务人员根据实际情况进行支付申请，严格执行国库集中支付制度，公务卡结算制度和政府采购制度等规定，按项目资金使用用途实施，确保预期目标实现。</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eastAsia="仿宋_GB2312" w:cs="仿宋_GB2312"/>
          <w:szCs w:val="32"/>
          <w:highlight w:val="none"/>
        </w:rPr>
      </w:pPr>
      <w:r>
        <w:rPr>
          <w:rFonts w:hint="eastAsia" w:ascii="仿宋_GB2312" w:hAnsi="仿宋_GB2312" w:cs="仿宋_GB2312"/>
          <w:szCs w:val="32"/>
          <w:highlight w:val="none"/>
          <w:lang w:eastAsia="zh-CN"/>
        </w:rPr>
        <w:t>我局</w:t>
      </w:r>
      <w:r>
        <w:rPr>
          <w:rFonts w:hint="eastAsia" w:ascii="仿宋_GB2312" w:hAnsi="仿宋_GB2312" w:eastAsia="仿宋_GB2312" w:cs="仿宋_GB2312"/>
          <w:szCs w:val="32"/>
          <w:highlight w:val="none"/>
        </w:rPr>
        <w:t>对财政资金的使用实行</w:t>
      </w:r>
      <w:r>
        <w:rPr>
          <w:rFonts w:hint="eastAsia" w:ascii="仿宋_GB2312" w:hAnsi="仿宋_GB2312" w:cs="仿宋_GB2312"/>
          <w:szCs w:val="32"/>
          <w:highlight w:val="none"/>
          <w:lang w:eastAsia="zh-CN"/>
        </w:rPr>
        <w:t>财务分管领导</w:t>
      </w:r>
      <w:r>
        <w:rPr>
          <w:rFonts w:hint="eastAsia" w:ascii="仿宋_GB2312" w:hAnsi="仿宋_GB2312" w:eastAsia="仿宋_GB2312" w:cs="仿宋_GB2312"/>
          <w:szCs w:val="32"/>
          <w:highlight w:val="none"/>
        </w:rPr>
        <w:t>“一支笔”审批制，财务管理严格依法依规，做到公开公平公正，严格执行各项有关法律法规、财经纪律、财务规章制度，按照预算管理工作要求，建立完善的管理体系，严格按照预算批复组织实施，在预算执行中开展目标运行的跟踪监控，确保预算预期目标的实现，不断提高财政资金的管理水平和财政资金的使用效率和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黑体" w:eastAsia="黑体"/>
          <w:szCs w:val="32"/>
          <w:highlight w:val="none"/>
          <w:lang w:eastAsia="zh-CN"/>
        </w:rPr>
      </w:pPr>
      <w:r>
        <w:rPr>
          <w:rFonts w:hint="eastAsia" w:ascii="黑体" w:eastAsia="黑体"/>
          <w:szCs w:val="32"/>
          <w:highlight w:val="none"/>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（一）绩效评价目的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通过开展绩效评价工作，在资金使用过程中加强监督监管，确保资金用途合规，专款专用，</w:t>
      </w:r>
      <w:r>
        <w:rPr>
          <w:rFonts w:hint="eastAsia" w:ascii="仿宋_GB2312" w:hAnsi="仿宋_GB2312" w:cs="仿宋_GB2312"/>
          <w:szCs w:val="32"/>
          <w:highlight w:val="none"/>
          <w:lang w:eastAsia="zh-CN"/>
        </w:rPr>
        <w:t>推进</w:t>
      </w:r>
      <w:r>
        <w:rPr>
          <w:rFonts w:hint="eastAsia" w:ascii="仿宋_GB2312" w:hAnsi="仿宋_GB2312" w:eastAsia="仿宋_GB2312" w:cs="仿宋_GB2312"/>
          <w:szCs w:val="32"/>
          <w:highlight w:val="none"/>
        </w:rPr>
        <w:t>各项工作进度，加快资金支付执行，提高资金使用效率最大化。</w:t>
      </w:r>
      <w:r>
        <w:rPr>
          <w:rFonts w:hint="eastAsia" w:ascii="仿宋_GB2312" w:hAnsi="仿宋_GB2312" w:cs="仿宋_GB2312"/>
          <w:szCs w:val="32"/>
          <w:highlight w:val="none"/>
          <w:lang w:eastAsia="zh-CN"/>
        </w:rPr>
        <w:t>这有利于提高政府整体运行效率和服务质量，进一步满足人民群众的需求和期望。</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（二）绩效评价原则、评价方法</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1.绩效评价原则</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我局绩效评价严格执行规定程序，按照科学规范、公正公开、分级分类等原则进行绩效评价。</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2.绩效评价方法：采用比较法、因素分析法等。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（三）绩效评价工作过程</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1.前期准备：根据呈贡区财政局文件要求，呈贡区司法局及时组织开展</w:t>
      </w:r>
      <w:r>
        <w:rPr>
          <w:rFonts w:hint="eastAsia" w:ascii="仿宋_GB2312" w:hAnsi="仿宋_GB2312" w:cs="仿宋_GB2312"/>
          <w:szCs w:val="32"/>
          <w:highlight w:val="none"/>
          <w:lang w:eastAsia="zh-CN"/>
        </w:rPr>
        <w:t>2022</w:t>
      </w:r>
      <w:r>
        <w:rPr>
          <w:rFonts w:hint="eastAsia" w:ascii="仿宋_GB2312" w:hAnsi="仿宋_GB2312" w:eastAsia="仿宋_GB2312" w:cs="仿宋_GB2312"/>
          <w:szCs w:val="32"/>
          <w:highlight w:val="none"/>
        </w:rPr>
        <w:t>年度区级预算支出绩效自评工作。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 xml:space="preserve">2.组织实施：评价小组按要求梳理了需要开展绩效评价的项目，采取座谈等方式听取情况，检查项目支出有关账目，收集整理支出相关资料。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3.分析评价：围绕各项目资金数额、使用用途、范围、支付进度、项目内容、质量等进行分析评价，形成了评价结论。</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highlight w:val="none"/>
        </w:rPr>
      </w:pPr>
      <w:r>
        <w:rPr>
          <w:rFonts w:hint="eastAsia" w:ascii="黑体" w:eastAsia="黑体"/>
          <w:szCs w:val="32"/>
          <w:highlight w:val="none"/>
          <w:lang w:eastAsia="zh-CN"/>
        </w:rPr>
        <w:t>四</w:t>
      </w:r>
      <w:r>
        <w:rPr>
          <w:rFonts w:hint="eastAsia" w:ascii="黑体" w:eastAsia="黑体"/>
          <w:szCs w:val="32"/>
          <w:highlight w:val="none"/>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w:t>
      </w:r>
      <w:r>
        <w:rPr>
          <w:rFonts w:hint="eastAsia" w:ascii="楷体_GB2312" w:hAnsi="楷体_GB2312" w:eastAsia="楷体_GB2312" w:cs="楷体_GB2312"/>
          <w:szCs w:val="32"/>
          <w:highlight w:val="none"/>
          <w:lang w:eastAsia="zh-CN"/>
        </w:rPr>
        <w:t>一</w:t>
      </w:r>
      <w:r>
        <w:rPr>
          <w:rFonts w:hint="eastAsia" w:ascii="楷体_GB2312" w:hAnsi="楷体_GB2312" w:eastAsia="楷体_GB2312" w:cs="楷体_GB2312"/>
          <w:szCs w:val="32"/>
          <w:highlight w:val="none"/>
        </w:rPr>
        <w:t>）项目实施情况分析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我局项目经济效益指标是确保资金使用合理合规，加强保障呈贡区经济发展，创造良好环境。社会效益指标是不断提升司法行政各项业务工作能力，对全区依法治区工作完成情况进行督查，督促各单位完成依法治区各项工作任务，充分化解矛盾纠纷，加强律师培训，保证弱势群体应援尽援，维护呈贡区和谐稳定；生态效益指标是创造良好环境，保障人民群众安居乐业；可持续指标是维护社会政治稳定，不断提高公众安全感和满意度，做到人民群众满意。</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1.项目组织情况分析：结合工作实际提前做好项目规划，明确分管领导和责任科室，按进度组织项目工程实施。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2.项目管理情况分析：及时督促项目进度，根据工程进度分步进行资金支付，并在项目完成后进行结算审计，确保工程内容及质量。</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w:t>
      </w: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）项目绩效情况分析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 xml:space="preserve">1.项目经济性分析：以上资金总体预算执行率执行率100%，无超预算支出情况。年初预算部分资金未支出，主要是中央转移支付资金，由于受疫情影响，无法组织集中教育、集中培训等，且由于部分上级资金因工作跨年开展，无法在当年进行支付。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2.项目的效率性分析：在资金使用过程中，按照各项目内容实施进度分项进行支付，按预期完成项目进度，到达预期目标。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3.项目的效益型分析：各项目经费专款专用，用于开展公共法律服务实体平台建设，公证及律师管理日常工作支出；搭建矫正管理系统平台专线网络、矫正系统执法管理平台；开展社区矫正基地场地管养及完善相关设施；开展“法治学校”、“诚信守法企业”等创建活动，“法律六进”、“法治文化”示范点创建，“青少年法治教育基地”及“法治主题公园观摩点”维护、更新；用于“法律六进”、普法专题日、专项普法等活动制作宣传资料、宣传用品等；打造41个平安法治宣传阵地、法治主题宣传公园、法治宣传长廊进行巡查检查，发现问题及时进行整改；指导督促各责任部门落实20</w:t>
      </w:r>
      <w:r>
        <w:rPr>
          <w:rFonts w:hint="eastAsia" w:ascii="仿宋_GB2312"/>
          <w:szCs w:val="32"/>
          <w:highlight w:val="none"/>
          <w:lang w:val="en-US" w:eastAsia="zh-CN"/>
        </w:rPr>
        <w:t>22</w:t>
      </w:r>
      <w:r>
        <w:rPr>
          <w:rFonts w:hint="eastAsia" w:ascii="仿宋_GB2312"/>
          <w:szCs w:val="32"/>
          <w:highlight w:val="none"/>
        </w:rPr>
        <w:t>年依法治区各项工作，并做好日常管理及考核工作；及时兑付法律援助案件补贴，印制宣传资料进行法律援助宣传，及时兑付“以奖代补”案件补贴，打造规范化社区调解委员会等，更好的为群众提供法律服务，有效维护社会稳定，为保障新区建设顺利推进发挥积极作用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highlight w:val="none"/>
        </w:rPr>
      </w:pPr>
      <w:r>
        <w:rPr>
          <w:rFonts w:hint="eastAsia" w:ascii="黑体" w:eastAsia="黑体"/>
          <w:szCs w:val="32"/>
          <w:highlight w:val="none"/>
          <w:lang w:eastAsia="zh-CN"/>
        </w:rPr>
        <w:t>五</w:t>
      </w:r>
      <w:r>
        <w:rPr>
          <w:rFonts w:hint="eastAsia" w:ascii="黑体" w:eastAsia="黑体"/>
          <w:szCs w:val="32"/>
          <w:highlight w:val="none"/>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仿宋_GB2312"/>
          <w:szCs w:val="32"/>
          <w:highlight w:val="none"/>
        </w:rPr>
      </w:pPr>
      <w:r>
        <w:rPr>
          <w:rFonts w:hint="eastAsia" w:ascii="仿宋_GB2312"/>
          <w:szCs w:val="32"/>
          <w:highlight w:val="none"/>
        </w:rPr>
        <w:t>专项立项依据充分</w:t>
      </w:r>
      <w:r>
        <w:rPr>
          <w:rFonts w:hint="eastAsia" w:ascii="仿宋_GB2312"/>
          <w:szCs w:val="32"/>
          <w:highlight w:val="none"/>
          <w:lang w:eastAsia="zh-CN"/>
        </w:rPr>
        <w:t>，按照相关文件及上级工作要求进行项目预算编制</w:t>
      </w:r>
      <w:r>
        <w:rPr>
          <w:rFonts w:hint="eastAsia" w:ascii="仿宋_GB2312"/>
          <w:szCs w:val="32"/>
          <w:highlight w:val="none"/>
        </w:rPr>
        <w:t>；</w:t>
      </w:r>
      <w:r>
        <w:rPr>
          <w:rFonts w:hint="eastAsia" w:ascii="仿宋_GB2312"/>
          <w:szCs w:val="32"/>
          <w:highlight w:val="none"/>
          <w:lang w:eastAsia="zh-CN"/>
        </w:rPr>
        <w:t>有</w:t>
      </w:r>
      <w:r>
        <w:rPr>
          <w:rFonts w:hint="eastAsia" w:ascii="仿宋_GB2312"/>
          <w:szCs w:val="32"/>
          <w:highlight w:val="none"/>
        </w:rPr>
        <w:t>资金管理办法</w:t>
      </w:r>
      <w:r>
        <w:rPr>
          <w:rFonts w:hint="eastAsia" w:ascii="仿宋_GB2312"/>
          <w:szCs w:val="32"/>
          <w:highlight w:val="none"/>
          <w:lang w:eastAsia="zh-CN"/>
        </w:rPr>
        <w:t>并且</w:t>
      </w:r>
      <w:r>
        <w:rPr>
          <w:rFonts w:hint="eastAsia" w:ascii="仿宋_GB2312"/>
          <w:szCs w:val="32"/>
          <w:highlight w:val="none"/>
        </w:rPr>
        <w:t>资金管理办法规范</w:t>
      </w:r>
      <w:r>
        <w:rPr>
          <w:rFonts w:hint="eastAsia" w:ascii="仿宋_GB2312"/>
          <w:szCs w:val="32"/>
          <w:highlight w:val="none"/>
          <w:lang w:eastAsia="zh-CN"/>
        </w:rPr>
        <w:t>，</w:t>
      </w:r>
      <w:r>
        <w:rPr>
          <w:rFonts w:hint="eastAsia" w:ascii="仿宋_GB2312"/>
          <w:szCs w:val="32"/>
          <w:highlight w:val="none"/>
        </w:rPr>
        <w:t>严格执行各项有关法律法规、财经纪律、财务规章制度，按照预算管理工作要求</w:t>
      </w:r>
      <w:r>
        <w:rPr>
          <w:rFonts w:hint="eastAsia" w:ascii="仿宋_GB2312"/>
          <w:szCs w:val="32"/>
          <w:highlight w:val="none"/>
          <w:lang w:eastAsia="zh-CN"/>
        </w:rPr>
        <w:t>，合理支付项目经费</w:t>
      </w:r>
      <w:r>
        <w:rPr>
          <w:rFonts w:hint="eastAsia" w:ascii="仿宋_GB2312"/>
          <w:szCs w:val="32"/>
          <w:highlight w:val="none"/>
        </w:rPr>
        <w:t>。</w:t>
      </w:r>
      <w:r>
        <w:rPr>
          <w:rFonts w:hint="eastAsia" w:ascii="仿宋_GB2312"/>
          <w:szCs w:val="32"/>
          <w:highlight w:val="none"/>
          <w:lang w:eastAsia="zh-CN"/>
        </w:rPr>
        <w:t>不存在专项管理方面的问题。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资金分配方面的问题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仿宋_GB2312"/>
          <w:szCs w:val="32"/>
          <w:highlight w:val="none"/>
        </w:rPr>
      </w:pPr>
      <w:r>
        <w:rPr>
          <w:rFonts w:hint="eastAsia" w:ascii="仿宋_GB2312"/>
          <w:szCs w:val="32"/>
          <w:highlight w:val="none"/>
        </w:rPr>
        <w:t>资金分配合理，突出重点，公平公正；无散小差现象；资金分配和使用方向与资金管理办法相符。</w:t>
      </w:r>
      <w:r>
        <w:rPr>
          <w:rFonts w:hint="eastAsia" w:ascii="仿宋_GB2312"/>
          <w:szCs w:val="32"/>
          <w:highlight w:val="none"/>
          <w:lang w:eastAsia="zh-CN"/>
        </w:rPr>
        <w:t>不存在资金分配方面的问题。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lang w:val="en-US" w:eastAsia="zh-CN"/>
        </w:rPr>
      </w:pPr>
      <w:r>
        <w:rPr>
          <w:rFonts w:hint="eastAsia" w:ascii="楷体_GB2312" w:hAnsi="楷体_GB2312" w:eastAsia="楷体_GB2312" w:cs="楷体_GB2312"/>
          <w:szCs w:val="32"/>
          <w:highlight w:val="none"/>
          <w:lang w:eastAsia="zh-CN"/>
        </w:rPr>
        <w:t>（三）资金拨付方面的问题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eastAsia="仿宋_GB2312"/>
          <w:szCs w:val="32"/>
          <w:highlight w:val="none"/>
          <w:lang w:val="en-US" w:eastAsia="zh-CN"/>
        </w:rPr>
      </w:pPr>
      <w:r>
        <w:rPr>
          <w:rFonts w:hint="eastAsia" w:ascii="仿宋_GB2312"/>
          <w:szCs w:val="32"/>
          <w:highlight w:val="none"/>
          <w:lang w:val="en-US" w:eastAsia="zh-CN"/>
        </w:rPr>
        <w:t xml:space="preserve">  资金拨付及时，无</w:t>
      </w:r>
      <w:r>
        <w:rPr>
          <w:rFonts w:hint="eastAsia" w:ascii="仿宋_GB2312"/>
          <w:szCs w:val="32"/>
          <w:highlight w:val="none"/>
        </w:rPr>
        <w:t>滞留、闲置等现象。</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（四）资金使用方面的问题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891" w:firstLineChars="300"/>
        <w:jc w:val="both"/>
        <w:textAlignment w:val="auto"/>
        <w:rPr>
          <w:rFonts w:ascii="仿宋_GB2312"/>
          <w:szCs w:val="32"/>
          <w:highlight w:val="none"/>
        </w:rPr>
      </w:pPr>
      <w:r>
        <w:rPr>
          <w:rFonts w:hint="eastAsia" w:ascii="仿宋_GB2312"/>
          <w:szCs w:val="32"/>
          <w:highlight w:val="none"/>
        </w:rPr>
        <w:t>资金使用合规，无截留、挪用等现象</w:t>
      </w:r>
      <w:r>
        <w:rPr>
          <w:rFonts w:hint="eastAsia" w:ascii="仿宋_GB231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highlight w:val="none"/>
        </w:rPr>
      </w:pPr>
      <w:r>
        <w:rPr>
          <w:rFonts w:hint="eastAsia" w:ascii="黑体" w:eastAsia="黑体"/>
          <w:szCs w:val="32"/>
          <w:highlight w:val="none"/>
          <w:lang w:eastAsia="zh-CN"/>
        </w:rPr>
        <w:t>六</w:t>
      </w:r>
      <w:r>
        <w:rPr>
          <w:rFonts w:hint="eastAsia" w:ascii="黑体" w:eastAsia="黑体"/>
          <w:szCs w:val="32"/>
          <w:highlight w:val="none"/>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（一）后续工作计划</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highlight w:val="none"/>
        </w:rPr>
      </w:pPr>
      <w:r>
        <w:rPr>
          <w:rFonts w:hint="eastAsia" w:ascii="仿宋_GB2312"/>
          <w:szCs w:val="32"/>
          <w:highlight w:val="none"/>
        </w:rPr>
        <w:t>我局将综合</w:t>
      </w:r>
      <w:r>
        <w:rPr>
          <w:rFonts w:hint="eastAsia" w:ascii="仿宋_GB2312"/>
          <w:szCs w:val="32"/>
          <w:highlight w:val="none"/>
          <w:lang w:eastAsia="zh-CN"/>
        </w:rPr>
        <w:t>2022</w:t>
      </w:r>
      <w:r>
        <w:rPr>
          <w:rFonts w:hint="eastAsia" w:ascii="仿宋_GB2312"/>
          <w:szCs w:val="32"/>
          <w:highlight w:val="none"/>
        </w:rPr>
        <w:t>年度呈贡区司法局财政预算项目绩效评价情况，强化以后年度的资金预算安排，并将绩效评价情况按要求予以公开，接受监督。制订年度项目资金预算方案前，认真做好每个项目的绩效目标分析，每月向领导班子汇报资金使用情况，以便及时作出调整，实现项目资金利用效率最大化。</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jc w:val="both"/>
        <w:textAlignment w:val="auto"/>
        <w:rPr>
          <w:rFonts w:hint="eastAsia"/>
          <w:highlight w:val="none"/>
        </w:rPr>
      </w:pPr>
      <w:r>
        <w:rPr>
          <w:rFonts w:hint="eastAsia" w:ascii="仿宋_GB2312" w:hAnsi="仿宋_GB2312" w:eastAsia="仿宋_GB2312" w:cs="仿宋_GB2312"/>
          <w:highlight w:val="none"/>
        </w:rPr>
        <w:t>1.主</w:t>
      </w:r>
      <w:r>
        <w:rPr>
          <w:rFonts w:hint="eastAsia"/>
          <w:highlight w:val="none"/>
        </w:rPr>
        <w:t xml:space="preserve">要经验及做法 </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jc w:val="both"/>
        <w:textAlignment w:val="auto"/>
        <w:rPr>
          <w:rFonts w:hint="eastAsia"/>
          <w:highlight w:val="none"/>
        </w:rPr>
      </w:pPr>
      <w:r>
        <w:rPr>
          <w:rFonts w:hint="eastAsia"/>
          <w:highlight w:val="none"/>
        </w:rPr>
        <w:t>领导重视，责任明确，定期召开行政办公会或党组会，研究讨论项目实施方案及资金来源，做好项目方面的组织协调、监督督促的各项工作，控制项目成本，加快项目进度，确保资金安全，保证项目质量，使得资金发挥最大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jc w:val="both"/>
        <w:textAlignment w:val="auto"/>
        <w:rPr>
          <w:rFonts w:hint="eastAsia"/>
          <w:highlight w:val="none"/>
        </w:rPr>
      </w:pPr>
      <w:r>
        <w:rPr>
          <w:rFonts w:hint="eastAsia" w:ascii="仿宋_GB2312" w:hAnsi="仿宋_GB2312" w:eastAsia="仿宋_GB2312" w:cs="仿宋_GB2312"/>
          <w:highlight w:val="none"/>
        </w:rPr>
        <w:t>2.改进</w:t>
      </w:r>
      <w:r>
        <w:rPr>
          <w:rFonts w:hint="eastAsia"/>
          <w:highlight w:val="none"/>
        </w:rPr>
        <w:t>措施和有关建议</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jc w:val="both"/>
        <w:textAlignment w:val="auto"/>
        <w:rPr>
          <w:rFonts w:hint="eastAsia"/>
          <w:highlight w:val="none"/>
        </w:rPr>
      </w:pPr>
      <w:r>
        <w:rPr>
          <w:rFonts w:hint="eastAsia"/>
          <w:highlight w:val="none"/>
        </w:rPr>
        <w:t xml:space="preserve">项目在实施过程，对项目制定相关的管理制度还不够完善。 </w:t>
      </w:r>
    </w:p>
    <w:p>
      <w:pPr>
        <w:keepNext w:val="0"/>
        <w:keepLines w:val="0"/>
        <w:pageBreakBefore w:val="0"/>
        <w:widowControl w:val="0"/>
        <w:kinsoku/>
        <w:wordWrap/>
        <w:overflowPunct/>
        <w:autoSpaceDE/>
        <w:autoSpaceDN/>
        <w:bidi w:val="0"/>
        <w:adjustRightInd/>
        <w:snapToGrid/>
        <w:spacing w:line="560" w:lineRule="exact"/>
        <w:ind w:left="0" w:leftChars="0" w:right="0" w:rightChars="0"/>
        <w:jc w:val="both"/>
        <w:textAlignment w:val="auto"/>
        <w:rPr>
          <w:rFonts w:hint="eastAsia"/>
          <w:highlight w:val="none"/>
        </w:rPr>
      </w:pPr>
      <w:r>
        <w:rPr>
          <w:rFonts w:hint="eastAsia"/>
          <w:highlight w:val="none"/>
          <w:lang w:eastAsia="zh-CN"/>
        </w:rPr>
        <w:t>下一步将</w:t>
      </w:r>
      <w:r>
        <w:rPr>
          <w:rFonts w:hint="eastAsia"/>
          <w:highlight w:val="none"/>
        </w:rPr>
        <w:t>加强项目管理，形成相应的项目管理制度， 做好事前、事中、事后的监督，把事做好、做实；加强项目相关管理人员的专业知识培训，通过培训增强管理人员的项目管理方面的业务知识，对于确保项目的质量和项目的规范管理至关重要。</w:t>
      </w:r>
    </w:p>
    <w:p>
      <w:pPr>
        <w:keepNext w:val="0"/>
        <w:keepLines w:val="0"/>
        <w:pageBreakBefore w:val="0"/>
        <w:widowControl w:val="0"/>
        <w:kinsoku/>
        <w:wordWrap/>
        <w:overflowPunct/>
        <w:autoSpaceDE/>
        <w:autoSpaceDN/>
        <w:bidi w:val="0"/>
        <w:adjustRightInd/>
        <w:snapToGrid/>
        <w:spacing w:line="560" w:lineRule="exact"/>
        <w:ind w:left="0" w:leftChars="0" w:right="0" w:rightChars="0"/>
        <w:jc w:val="both"/>
        <w:textAlignment w:val="auto"/>
        <w:rPr>
          <w:rFonts w:hint="eastAsia"/>
          <w:highlight w:val="none"/>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both"/>
        <w:textAlignment w:val="auto"/>
        <w:rPr>
          <w:rFonts w:hint="eastAsia"/>
          <w:highlight w:val="none"/>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both"/>
        <w:textAlignment w:val="auto"/>
        <w:rPr>
          <w:rFonts w:hint="eastAsia"/>
          <w:highlight w:val="none"/>
        </w:rPr>
      </w:pPr>
      <w:bookmarkStart w:id="0" w:name="_GoBack"/>
      <w:bookmarkEnd w:id="0"/>
    </w:p>
    <w:p>
      <w:pPr>
        <w:keepNext w:val="0"/>
        <w:keepLines w:val="0"/>
        <w:pageBreakBefore w:val="0"/>
        <w:widowControl w:val="0"/>
        <w:kinsoku/>
        <w:wordWrap/>
        <w:overflowPunct/>
        <w:autoSpaceDE/>
        <w:autoSpaceDN/>
        <w:bidi w:val="0"/>
        <w:adjustRightInd/>
        <w:snapToGrid/>
        <w:spacing w:line="560" w:lineRule="exact"/>
        <w:ind w:left="0" w:leftChars="0" w:right="0" w:rightChars="0"/>
        <w:jc w:val="both"/>
        <w:textAlignment w:val="auto"/>
        <w:rPr>
          <w:rFonts w:hint="eastAsia"/>
          <w:highlight w:val="none"/>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eastAsia="zh-CN"/>
        </w:rPr>
        <w:t xml:space="preserve">                                    </w:t>
      </w:r>
      <w:r>
        <w:rPr>
          <w:rFonts w:hint="eastAsia" w:ascii="仿宋_GB2312" w:hAnsi="仿宋_GB2312" w:eastAsia="仿宋_GB2312" w:cs="仿宋_GB2312"/>
          <w:highlight w:val="none"/>
          <w:lang w:eastAsia="zh-CN"/>
        </w:rPr>
        <w:t>昆明市呈贡区司法局</w:t>
      </w: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highlight w:val="none"/>
          <w:lang w:val="en-US" w:eastAsia="zh-CN"/>
        </w:rPr>
      </w:pPr>
      <w:r>
        <w:rPr>
          <w:rFonts w:hint="eastAsia" w:ascii="仿宋_GB2312" w:hAnsi="仿宋_GB2312" w:cs="仿宋_GB2312"/>
          <w:highlight w:val="none"/>
          <w:lang w:val="en-US" w:eastAsia="zh-CN"/>
        </w:rPr>
        <w:t xml:space="preserve">                                     </w:t>
      </w:r>
      <w:r>
        <w:rPr>
          <w:rFonts w:hint="eastAsia" w:ascii="仿宋_GB2312" w:hAnsi="仿宋_GB2312" w:eastAsia="仿宋_GB2312" w:cs="仿宋_GB2312"/>
          <w:highlight w:val="none"/>
          <w:lang w:val="en-US" w:eastAsia="zh-CN"/>
        </w:rPr>
        <w:t>202</w:t>
      </w:r>
      <w:r>
        <w:rPr>
          <w:rFonts w:hint="eastAsia" w:ascii="仿宋_GB2312" w:hAnsi="仿宋_GB2312" w:cs="仿宋_GB2312"/>
          <w:highlight w:val="none"/>
          <w:lang w:val="en-US" w:eastAsia="zh-CN"/>
        </w:rPr>
        <w:t>3</w:t>
      </w:r>
      <w:r>
        <w:rPr>
          <w:rFonts w:hint="eastAsia" w:ascii="仿宋_GB2312" w:hAnsi="仿宋_GB2312" w:eastAsia="仿宋_GB2312" w:cs="仿宋_GB2312"/>
          <w:highlight w:val="none"/>
          <w:lang w:val="en-US" w:eastAsia="zh-CN"/>
        </w:rPr>
        <w:t>年</w:t>
      </w:r>
      <w:r>
        <w:rPr>
          <w:rFonts w:hint="eastAsia" w:ascii="仿宋_GB2312" w:hAnsi="仿宋_GB2312" w:cs="仿宋_GB2312"/>
          <w:highlight w:val="none"/>
          <w:lang w:val="en-US" w:eastAsia="zh-CN"/>
        </w:rPr>
        <w:t>9</w:t>
      </w:r>
      <w:r>
        <w:rPr>
          <w:rFonts w:hint="eastAsia" w:ascii="仿宋_GB2312" w:hAnsi="仿宋_GB2312" w:eastAsia="仿宋_GB2312" w:cs="仿宋_GB2312"/>
          <w:highlight w:val="none"/>
          <w:lang w:val="en-US" w:eastAsia="zh-CN"/>
        </w:rPr>
        <w:t>月</w:t>
      </w:r>
      <w:r>
        <w:rPr>
          <w:rFonts w:hint="eastAsia" w:ascii="仿宋_GB2312" w:hAnsi="仿宋_GB2312" w:cs="仿宋_GB2312"/>
          <w:highlight w:val="none"/>
          <w:lang w:val="en-US" w:eastAsia="zh-CN"/>
        </w:rPr>
        <w:t>22</w:t>
      </w:r>
      <w:r>
        <w:rPr>
          <w:rFonts w:hint="eastAsia" w:ascii="仿宋_GB2312" w:hAnsi="仿宋_GB2312" w:eastAsia="仿宋_GB2312" w:cs="仿宋_GB2312"/>
          <w:highlight w:val="none"/>
          <w:lang w:val="en-US" w:eastAsia="zh-CN"/>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603F8"/>
    <w:rsid w:val="03E52CDD"/>
    <w:rsid w:val="05AE36CA"/>
    <w:rsid w:val="05CC1DC5"/>
    <w:rsid w:val="072B1B94"/>
    <w:rsid w:val="0BE2158B"/>
    <w:rsid w:val="141D32A7"/>
    <w:rsid w:val="1E935320"/>
    <w:rsid w:val="227F07CD"/>
    <w:rsid w:val="22D7110A"/>
    <w:rsid w:val="28BF6325"/>
    <w:rsid w:val="28D905D5"/>
    <w:rsid w:val="32C4141F"/>
    <w:rsid w:val="33F540C7"/>
    <w:rsid w:val="378A5996"/>
    <w:rsid w:val="3CE73C50"/>
    <w:rsid w:val="3D6F69C2"/>
    <w:rsid w:val="3E712B8C"/>
    <w:rsid w:val="427D63B8"/>
    <w:rsid w:val="430312D4"/>
    <w:rsid w:val="43FC1EF1"/>
    <w:rsid w:val="44F37D0B"/>
    <w:rsid w:val="5A3C6978"/>
    <w:rsid w:val="5A5D522E"/>
    <w:rsid w:val="5AF842C5"/>
    <w:rsid w:val="65BE06CA"/>
    <w:rsid w:val="67600811"/>
    <w:rsid w:val="732D145B"/>
    <w:rsid w:val="74A72BD3"/>
    <w:rsid w:val="75665065"/>
    <w:rsid w:val="77272FC8"/>
    <w:rsid w:val="7768215A"/>
    <w:rsid w:val="79505809"/>
    <w:rsid w:val="79CC7CDA"/>
    <w:rsid w:val="7BC7055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PC</cp:lastModifiedBy>
  <dcterms:modified xsi:type="dcterms:W3CDTF">2023-09-27T08:50:07Z</dcterms:modified>
  <dc:title>昆明市呈贡区司法局2022年度项目支出绩效自评报告（200万元以下的项目）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