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斗南街道工作经费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按照省、市、区对街道办事处的要求，</w:t>
      </w:r>
      <w:r>
        <w:rPr>
          <w:rFonts w:hint="eastAsia" w:ascii="仿宋_GB2312" w:hAnsi="仿宋_GB2312" w:cs="仿宋_GB2312"/>
          <w:szCs w:val="32"/>
          <w:lang w:eastAsia="zh-CN"/>
        </w:rPr>
        <w:t>该笔项目资金用于</w:t>
      </w:r>
      <w:r>
        <w:rPr>
          <w:rFonts w:hint="eastAsia" w:ascii="仿宋_GB2312" w:hAnsi="仿宋_GB2312" w:eastAsia="仿宋_GB2312" w:cs="仿宋_GB2312"/>
          <w:szCs w:val="32"/>
        </w:rPr>
        <w:t>保证街道招商引资、税收、县域经济、重点工作、重点项目、城市管理、劳动保障、科教文卫体、安全生产等工作的推进和完成。突出街道经济和社会发展要求，围绕招商引资、税收、县域经济、重点工作、重点项目、城市管理、劳动保障、科教文卫体、安全生产等开展工作，确保街道各项工作目标任务圆满完成。通过增加街道财政收入、保持税源稳定，推动区域经济的发展，提升城市管理、劳动保障、科教文体、安全生产工作质量，切实改善辖区居民群众生活环境，努力打造服务型政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斗南街道根据区政府下达的各项工作任务目标设定绩效目标，年内各项目标均完成。</w:t>
      </w: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经费的支出均按照街道办事处的内部审批流程执行，由使用科室根据项目预算情况申请支出，履行完单位的审批流程后，由财务室负责款项的支付与核算，经费的管理与核算严格按照经费的开支范围执行，确保专款专用。</w:t>
      </w: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lang w:eastAsia="zh-CN"/>
        </w:rPr>
        <w:t>年度街道运转工作经费预算资金为</w:t>
      </w:r>
      <w:r>
        <w:rPr>
          <w:rFonts w:hint="eastAsia" w:ascii="仿宋_GB2312" w:hAnsi="仿宋_GB2312" w:cs="仿宋_GB2312"/>
          <w:szCs w:val="32"/>
          <w:lang w:val="en-US" w:eastAsia="zh-CN"/>
        </w:rPr>
        <w:t>290.29</w:t>
      </w:r>
      <w:r>
        <w:rPr>
          <w:rFonts w:hint="eastAsia" w:ascii="仿宋_GB2312" w:hAnsi="仿宋_GB2312" w:cs="仿宋_GB2312"/>
          <w:szCs w:val="32"/>
          <w:lang w:eastAsia="zh-CN"/>
        </w:rPr>
        <w:t>万元，目前已全部列支。经费的投入保障了办事处各项工作的开展，调动了人员工作的积极性，加强了设备设施的管理与维护，保障了日常工作的正常运行。办事处在保证工作按时、按质、按量完成的前提下，以勤俭节约、量力而行为原则，严格坚持合理适用、量力而行，充分利用有限的资金，科学组织，严格控制经费支出，注重维护和完善使用功能，对资金使用严格财经纪律，专款专用，确保资金使用效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斗南街道工作经费</w:t>
      </w:r>
      <w:r>
        <w:rPr>
          <w:rFonts w:hint="eastAsia" w:ascii="仿宋_GB2312"/>
          <w:sz w:val="32"/>
          <w:szCs w:val="32"/>
          <w:lang w:val="en-US" w:eastAsia="zh-CN"/>
        </w:rPr>
        <w:t>290.29万元，已全部列支，用于保障街道各项工作的正常开展。主要有：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594" w:firstLineChars="200"/>
        <w:jc w:val="both"/>
        <w:textAlignment w:val="auto"/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/>
          <w:szCs w:val="32"/>
          <w:lang w:val="en-US" w:eastAsia="zh-CN"/>
        </w:rPr>
        <w:t>紧抓经济指标，增强</w:t>
      </w:r>
      <w:r>
        <w:rPr>
          <w:rFonts w:hint="default" w:ascii="仿宋_GB2312"/>
          <w:szCs w:val="32"/>
          <w:lang w:val="en-US" w:eastAsia="zh-CN"/>
        </w:rPr>
        <w:t>发展动力。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2022年，完成规模以上固定资产投资20.91亿元，完成目标任务52.3%；规模以上工业增加值1724万元，同比下降21.2%；限额以上社会消费品总额6506.3万元，同比下降33.5%。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/>
          <w:szCs w:val="32"/>
          <w:lang w:val="en-US" w:eastAsia="zh-CN"/>
        </w:rPr>
        <w:t>抓项目兴产业，加速构建产业体系。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紧扣“世界第一的花卉交易中心”目标定位，按照“一核两翼四组团”的产业布局，以项目为抓手，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不断优化营商环境，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推进小镇建设。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完成招商引资金额11.12亿元，完成全年10亿元任务的111.2%。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实有企业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2467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户，完成目标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任务2950户的83.63%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；个体工商户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7520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户，完成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115%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一是完善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花卉产业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体系，释放发展活力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花卉产业服务区一期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项目2022年主体全面建成，2023年上半年正式投入使用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斗南国际花卉综合物流中心建设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项目用地面积92.25亩，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正等待市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规土委会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观赏园艺国家专业化众创空间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已吸引怡华园艺有限公司、荷兰橙色多盟集团有限公司等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家企业入驻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国家观赏园艺工程技术研究中心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已完成非洲菊、百合基因组数据测序和组装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科研团队已顺利攻关了洋桔梗种业的“卡脖子”科研问题。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国际花卉技术创新中心绿色高效种植基地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投入使用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将重点实施现代花卉种植栽培展示，打造国际花卉创新中心。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开展斗南片区控规调整，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水石公司正在调研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sz w:val="32"/>
          <w:lang w:val="en-US" w:eastAsia="zh-CN"/>
        </w:rPr>
        <w:t>二是深入实施道路项目，畅联交通路网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sz w:val="32"/>
          <w:lang w:val="en-US" w:eastAsia="zh-CN"/>
        </w:rPr>
        <w:t>。呈贡67号路项目，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sz w:val="32"/>
          <w:lang w:val="en-US" w:eastAsia="zh-CN"/>
        </w:rPr>
        <w:t>已完成南半幅通车，与兴呈路相交的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sz w:val="32"/>
          <w:lang w:val="en-US" w:eastAsia="zh-CN"/>
        </w:rPr>
        <w:t>南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sz w:val="32"/>
          <w:lang w:val="en-US" w:eastAsia="zh-CN"/>
        </w:rPr>
        <w:t>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sz w:val="32"/>
          <w:lang w:val="en-US" w:eastAsia="zh-CN"/>
        </w:rPr>
        <w:t>土地指标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已按照新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用地政策要求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上报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审批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60、65号路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古滇路（金桂街至呈祥）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已于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主道、辅道完成通车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斗南花卉特色小镇北侧交通环线已建成通车。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花都路（瑞香街至规划61号路段）项目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已完成人行道铺设，绿化施工，自来水管网及电力迁改，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计划今年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月底通车。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32"/>
          <w:lang w:val="en-US" w:eastAsia="zh-CN"/>
        </w:rPr>
        <w:t>古滇路（金桂街至61号路）项目，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已完成古滇路线型范围内斗南农资市场周边及其他建（构）筑物的前期统计工作，完成对涉及的土地及地上附属物进行初步评估。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32"/>
          <w:lang w:val="en-US" w:eastAsia="zh-CN"/>
        </w:rPr>
        <w:t>呈贡区76号路（86号路至古滇路段）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32"/>
          <w:lang w:val="en-US" w:eastAsia="zh-CN"/>
        </w:rPr>
        <w:t>项目，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lang w:val="en-US" w:eastAsia="zh-CN"/>
        </w:rPr>
        <w:t>施工方已于2022年9月进场。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lang w:val="en-US" w:eastAsia="zh-CN"/>
        </w:rPr>
        <w:t>2022年，斗南花卉交易量约110.37亿枝，交易额约121.48亿元，2022年花卉交易量价分别同比增长7.6%，8.04%；接待人数约297.31万人，营业收入约5593.49万元。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="0" w:leftChars="0" w:firstLine="594" w:firstLineChars="200"/>
        <w:textAlignment w:val="auto"/>
        <w:rPr>
          <w:rFonts w:hint="eastAsia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3、抓牢安全工作，辖区大局和谐稳定。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不断完善应急体系，守牢安全底线。有效确保辖区生产安全、社会安定、市民安宁。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一是长效常态开展疫情防控工作。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疫情防控指挥部最新防控政策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作为全区唯一的试点街道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完成了区域全员核酸检测预警式筛查演练工作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2022年，辖区累计实现新冠疫苗接种73742剂次。累计完成电话溯源流调44893余人、转运集中隔离1467人次。转运解除社区隔离人员498人次，累计完成核酸采样2237754人次。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做好矛盾纠纷排查调解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入户走访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6264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户，排查风险隐患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件，已化解数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调解矛盾纠纷194件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受理信访件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，办结69件，1件正在办理中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；接到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“市长热线”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件，办结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件正在办理中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辖区重点人员共316人，其中吸毒人员187人，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在各级“两会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党的二十大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关键期间，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对重点人员进行24小时稳控，有效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维护重点时期和重点项目建设期间的社会稳定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定期开展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检查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生产、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消防、食品及道路交通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家次，查出生产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安全隐患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条，现在已整改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和极端天气应对等工作有力有效，全年未发生较大安全事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辖区治安平稳向好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南街道被评为区级平安街道，区级平安社区4个社区，创建率为66.7%；平安家庭1915户，创建率为30%；创建平安单位6个、平安小区2个。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kinsoku/>
        <w:wordWrap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4、拆管建相结合，全方位推动城市建设管理。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斗南街道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多措并举，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加快城市化建设，还空间于城市、还绿地于人民，不断提升人民群众的获得感、安全感、幸福感。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攻坚克难搬迁拆迁。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殷联社区村庄搬迁安置工作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已签订《搬迁安置补偿协议》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未签协议的83户积极开展入户动迁工作。有征地批文的34栋房屋，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正在走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法律程序，期满后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强制收回土地。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完成江尾社区房子湾村民安置房分房选房，分配安置房368套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车位368个，182户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458名村民喜分新居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成立新城市社区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花田里社区，并于10月份完成挂牌。</w:t>
      </w:r>
      <w:r>
        <w:rPr>
          <w:rFonts w:ascii="Times New Roman" w:hAnsi="Times New Roman" w:eastAsia="仿宋_GB2312"/>
          <w:sz w:val="32"/>
          <w:szCs w:val="32"/>
        </w:rPr>
        <w:t>完成小古城社区</w:t>
      </w:r>
      <w:r>
        <w:rPr>
          <w:rFonts w:hint="eastAsia" w:ascii="Times New Roman" w:hAnsi="Times New Roman" w:eastAsia="仿宋_GB2312"/>
          <w:sz w:val="32"/>
          <w:szCs w:val="32"/>
        </w:rPr>
        <w:t>“微改造”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斗南</w:t>
      </w:r>
      <w:r>
        <w:rPr>
          <w:rFonts w:ascii="Times New Roman" w:hAnsi="Times New Roman" w:eastAsia="仿宋_GB2312"/>
          <w:sz w:val="32"/>
          <w:szCs w:val="32"/>
        </w:rPr>
        <w:t>社区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西侧外立面</w:t>
      </w:r>
      <w:r>
        <w:rPr>
          <w:rFonts w:hint="eastAsia" w:ascii="Times New Roman" w:hAnsi="Times New Roman" w:eastAsia="仿宋_GB2312"/>
          <w:sz w:val="32"/>
          <w:szCs w:val="32"/>
        </w:rPr>
        <w:t>“微改造”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常态开展环境卫生整治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开展“党建引领、五级联动、吹哨报到”工作10次，吹响社区哨件100余件，逐步实现了社区网格员与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区级部门、街道工作人员及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社区居民的联动处置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强化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城乡秩序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整治工作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门前三包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5000余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次、规范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门前三包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次，签订门前三包责任书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300余份，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说服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占道经营、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店外经营7000余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清理卫生死角800余起，整治乱堆乱放600余起，修复破损人行道和路面600平方米，清理垃圾3212方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完成城乡违法违规建筑治理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482宗123364.3平方米。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开启“全码时代”示范引领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完成7916块“二维码智慧门牌”挂牌上墙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推广“呈安居”运用，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提升社区“智治”水平。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4" w:firstLineChars="200"/>
        <w:jc w:val="both"/>
        <w:textAlignment w:val="auto"/>
        <w:rPr>
          <w:rFonts w:hint="default"/>
        </w:rPr>
      </w:pPr>
      <w:r>
        <w:rPr>
          <w:rFonts w:hint="eastAsia" w:ascii="仿宋_GB2312"/>
          <w:szCs w:val="32"/>
          <w:lang w:val="en-US" w:eastAsia="zh-CN"/>
        </w:rPr>
        <w:t>5、加强生态环境保护，推动绿色发展。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坚决贯彻习近平生态文明思想，打好蓝天、碧水、净土保卫战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巩固滇池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保护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一是扩增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新增园林绿化面积。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完成斗南湿地、金桂街沿线等点位的复绿补绿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新增园林绿化面积6.2公顷，完成率100%。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落实两级河长巡河制度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街道级河长巡河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44次，社区级河长巡河112次，处理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问题20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余次；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整治“三沟”支流沟渠环境卫生，加强入滇沟渠保洁和绿化管护，清淤除杂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0余吨，查处违法排放染料2起。深入推进长江流域“十年禁渔”工作，开展联合执法巡查1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劝离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233人员垂钓人员。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扎实推进滇池流域农业面源污染治理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回收处置药瓶500公斤、药袋355.8公斤、地膜1611.5公斤、塑料快餐盒125.7公斤。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在蔬菜花卉退种区，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荷花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油菜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等大田作物1200亩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强化大气污染防治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制止露天焚烧麦秸、垃圾5起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格渣土运输、狠抓油烟、扬尘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全年空气质量优良率达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98%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6、提升服务能力，</w:t>
      </w:r>
      <w:r>
        <w:rPr>
          <w:rFonts w:hint="default" w:ascii="仿宋_GB2312"/>
          <w:szCs w:val="32"/>
          <w:lang w:val="en-US" w:eastAsia="zh-CN"/>
        </w:rPr>
        <w:t>不断增进民生福祉。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医疗保险、养老保险、民政创业就业等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1000余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办结率、满意率均为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宜居宜业水平大幅提升。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一是不断提升保障能力。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新增独生子女养老生活补助269人5.8万元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慰问特别扶助家庭44人次1.32万元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完成梅子、斗南社区完善被征地人员基本养老保障补助兑现人数3828人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补助939.7万元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慰问优抚对象、现役军人家属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592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优抚对象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199.9万元。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走访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慰问残疾人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救助困难残疾人37户7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3925万元，申报审批困难精神残疾人服药补助23人2.3万元。完成农村劳动力转移173人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完成755户涉农居民购买家庭意外险和1户购买农作物自然灾害险补助工作，兑付资金45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城镇和农村常住居民人均可支配收入分别为40973元、24226元，分别增长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2.9%、6.3%。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二是深入推进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教育督导工作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辖区内适龄儿童就近接受义务教育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小学阶段适龄儿童毛入学率达100%，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完成辖区内512名外来务工子女一年级招生报名网上预登记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慰问学生25名，发慰问金7500元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。对无证办学机构和变相违规开展学科类培训机构进行排查和整治6次。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对口帮扶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采购脱贫地区食用油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、大米、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轿子山泉，投入资金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5.3万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对口帮扶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村19户建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档立卡户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遍访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持续巩固提升脱贫攻坚成果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7、抓实文化工作，增强文化产业发展活力。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创建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一街道一品牌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一社区一特色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群众文化活动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以梅子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社区板凳龙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小独龙文艺队、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菱角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江尾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花灯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斗南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等特色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推出《灯火里的中国》《十九届六中全会就是好》</w:t>
      </w:r>
      <w:r>
        <w:rPr>
          <w:rFonts w:hint="eastAsia" w:ascii="Times New Roman" w:hAnsi="Times New Roman" w:eastAsia="仿宋_GB2312"/>
          <w:sz w:val="32"/>
          <w:szCs w:val="32"/>
        </w:rPr>
        <w:t>《跟着老爹学法治》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等文艺精品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举办文化科技卫生“三下乡”活动、“我们的节日”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系列文化活动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195场，其中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场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被呈贡新时代文明实践中心评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经典活动。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是文旅融合发展再上新台阶。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举办江尾首届土豆丰收节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“以荷为媒 相约江尾”首届呈贡斗南农旅文化节，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推动农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旅融合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以“农旅”带动乡村经济发展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今年，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斗南花市入选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第二批国家级夜间文化和旅游消费集聚区名单、入选昆明市生活美学空间名单，斗南花卉特色街区入选昆明市特色文化街区名单，下一步将持续打造江尾海潮慢生活项目和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斗南社区中轴线步行街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不断释放斗南经济活力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由于</w:t>
      </w:r>
      <w:r>
        <w:rPr>
          <w:rFonts w:hint="eastAsia" w:ascii="仿宋_GB2312" w:hAnsi="仿宋_GB2312" w:cs="仿宋_GB2312"/>
          <w:szCs w:val="32"/>
          <w:lang w:eastAsia="zh-CN"/>
        </w:rPr>
        <w:t>街道工作开展的不可控性，经费的列支进度存在与财政要求进度不一致的情况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/>
          <w:szCs w:val="32"/>
          <w:shd w:val="clear" w:color="auto" w:fill="FFFFFF"/>
          <w:lang w:eastAsia="zh-CN"/>
        </w:rPr>
        <w:t>继续完善和细化项目资金使用计划及绩效目标的设定，使项目资金绩效最大化。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Arial" w:cs="Arial"/>
          <w:color w:val="191919"/>
          <w:szCs w:val="32"/>
          <w:shd w:val="clear" w:color="auto" w:fill="FFFFFF"/>
        </w:rPr>
      </w:pPr>
      <w:r>
        <w:rPr>
          <w:rFonts w:hint="eastAsia" w:ascii="仿宋_GB2312" w:hAnsi="Arial" w:cs="Arial"/>
          <w:color w:val="191919"/>
          <w:szCs w:val="32"/>
          <w:shd w:val="clear" w:color="auto" w:fill="FFFFFF"/>
        </w:rPr>
        <w:t>建立健全预算绩效管理制度体系，完善和优化预算绩效管理运行机制；街道办做好成本控制、进度跟踪、结果检查工作，管理者做好总体把控工作，确保绩效目标保质保量，准时完成。</w:t>
      </w:r>
    </w:p>
    <w:p>
      <w:pPr>
        <w:numPr>
          <w:ilvl w:val="0"/>
          <w:numId w:val="0"/>
        </w:numPr>
        <w:topLinePunct/>
        <w:rPr>
          <w:rFonts w:hint="eastAsia"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EF783"/>
    <w:multiLevelType w:val="singleLevel"/>
    <w:tmpl w:val="A3BEF78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180CF4"/>
    <w:multiLevelType w:val="singleLevel"/>
    <w:tmpl w:val="DA180C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E9A7D4"/>
    <w:multiLevelType w:val="singleLevel"/>
    <w:tmpl w:val="11E9A7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4264177F"/>
    <w:rsid w:val="5A3C6978"/>
    <w:rsid w:val="67600811"/>
    <w:rsid w:val="FD3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jyjcg</dc:creator>
  <cp:lastModifiedBy>kmcg</cp:lastModifiedBy>
  <dcterms:modified xsi:type="dcterms:W3CDTF">2023-09-27T16:45:28Z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A6D896BF1676D86CA8EB136560C4A0D1</vt:lpwstr>
  </property>
</Properties>
</file>