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呈贡区委政研室</w:t>
      </w:r>
      <w:r>
        <w:rPr>
          <w:rFonts w:hint="default" w:ascii="Times New Roman" w:hAnsi="Times New Roman" w:eastAsia="方正小标宋简体" w:cs="Times New Roman"/>
          <w:sz w:val="44"/>
          <w:szCs w:val="44"/>
        </w:rPr>
        <w:t>项目支出绩效评价报告</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Cs w:val="32"/>
        </w:rPr>
      </w:pP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一、基本情况</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default" w:ascii="Times New Roman" w:hAnsi="Times New Roman" w:eastAsia="楷体" w:cs="Times New Roman"/>
          <w:szCs w:val="32"/>
        </w:rPr>
      </w:pPr>
      <w:r>
        <w:rPr>
          <w:rFonts w:hint="default" w:ascii="Times New Roman" w:hAnsi="Times New Roman" w:eastAsia="楷体" w:cs="Times New Roman"/>
          <w:szCs w:val="32"/>
        </w:rPr>
        <w:t>（一）项目概况。</w:t>
      </w:r>
    </w:p>
    <w:p>
      <w:pPr>
        <w:keepNext w:val="0"/>
        <w:keepLines w:val="0"/>
        <w:pageBreakBefore w:val="0"/>
        <w:widowControl/>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rPr>
        <w:t>年，为保障完成特定的行政工作任务或事业发展目标，用于专项业务工作的经费支出</w:t>
      </w:r>
      <w:r>
        <w:rPr>
          <w:rFonts w:hint="default" w:ascii="Times New Roman" w:hAnsi="Times New Roman" w:cs="Times New Roman"/>
          <w:sz w:val="32"/>
          <w:szCs w:val="32"/>
          <w:lang w:val="en-US" w:eastAsia="zh-CN"/>
        </w:rPr>
        <w:t>52248.34元</w:t>
      </w:r>
      <w:r>
        <w:rPr>
          <w:rFonts w:hint="default" w:ascii="Times New Roman" w:hAnsi="Times New Roman" w:eastAsia="仿宋_GB2312" w:cs="Times New Roman"/>
          <w:sz w:val="32"/>
          <w:szCs w:val="32"/>
        </w:rPr>
        <w:t>。具体项目开支情况如下：</w:t>
      </w:r>
    </w:p>
    <w:p>
      <w:pPr>
        <w:keepNext w:val="0"/>
        <w:keepLines w:val="0"/>
        <w:pageBreakBefore w:val="0"/>
        <w:kinsoku/>
        <w:wordWrap/>
        <w:overflowPunct/>
        <w:autoSpaceDE/>
        <w:autoSpaceDN/>
        <w:bidi w:val="0"/>
        <w:adjustRightInd/>
        <w:snapToGrid/>
        <w:spacing w:line="560" w:lineRule="exact"/>
        <w:ind w:firstLine="6400" w:firstLineChars="20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单位：元</w:t>
      </w:r>
    </w:p>
    <w:tbl>
      <w:tblPr>
        <w:tblStyle w:val="8"/>
        <w:tblW w:w="8497" w:type="dxa"/>
        <w:tblInd w:w="93" w:type="dxa"/>
        <w:tblLayout w:type="fixed"/>
        <w:tblCellMar>
          <w:top w:w="0" w:type="dxa"/>
          <w:left w:w="108" w:type="dxa"/>
          <w:bottom w:w="0" w:type="dxa"/>
          <w:right w:w="108" w:type="dxa"/>
        </w:tblCellMar>
      </w:tblPr>
      <w:tblGrid>
        <w:gridCol w:w="536"/>
        <w:gridCol w:w="5629"/>
        <w:gridCol w:w="2332"/>
      </w:tblGrid>
      <w:tr>
        <w:tblPrEx>
          <w:tblCellMar>
            <w:top w:w="0" w:type="dxa"/>
            <w:left w:w="108" w:type="dxa"/>
            <w:bottom w:w="0" w:type="dxa"/>
            <w:right w:w="108" w:type="dxa"/>
          </w:tblCellMar>
        </w:tblPrEx>
        <w:trPr>
          <w:trHeight w:val="308"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cs="Times New Roman"/>
                <w:color w:val="000000"/>
                <w:kern w:val="0"/>
                <w:sz w:val="32"/>
                <w:szCs w:val="32"/>
                <w:lang w:eastAsia="zh-CN"/>
              </w:rPr>
              <w:t>序</w:t>
            </w:r>
            <w:r>
              <w:rPr>
                <w:rFonts w:hint="eastAsia" w:cs="Times New Roman"/>
                <w:color w:val="000000"/>
                <w:kern w:val="0"/>
                <w:sz w:val="32"/>
                <w:szCs w:val="32"/>
                <w:lang w:eastAsia="zh-CN"/>
              </w:rPr>
              <w:t>序</w:t>
            </w:r>
            <w:r>
              <w:rPr>
                <w:rFonts w:hint="default" w:ascii="Times New Roman" w:hAnsi="Times New Roman" w:eastAsia="仿宋_GB2312" w:cs="Times New Roman"/>
                <w:color w:val="000000"/>
                <w:kern w:val="0"/>
                <w:sz w:val="32"/>
                <w:szCs w:val="32"/>
              </w:rPr>
              <w:t>号</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项目名称</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金额(元)</w:t>
            </w:r>
          </w:p>
        </w:tc>
      </w:tr>
      <w:tr>
        <w:tblPrEx>
          <w:tblCellMar>
            <w:top w:w="0" w:type="dxa"/>
            <w:left w:w="108" w:type="dxa"/>
            <w:bottom w:w="0" w:type="dxa"/>
            <w:right w:w="108" w:type="dxa"/>
          </w:tblCellMar>
        </w:tblPrEx>
        <w:trPr>
          <w:trHeight w:val="1088"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rPr>
              <w:t>1</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改革专项经费</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2248.34</w:t>
            </w:r>
          </w:p>
        </w:tc>
      </w:tr>
      <w:tr>
        <w:tblPrEx>
          <w:tblCellMar>
            <w:top w:w="0" w:type="dxa"/>
            <w:left w:w="108" w:type="dxa"/>
            <w:bottom w:w="0" w:type="dxa"/>
            <w:right w:w="108" w:type="dxa"/>
          </w:tblCellMar>
        </w:tblPrEx>
        <w:trPr>
          <w:trHeight w:val="1660" w:hRule="atLeast"/>
        </w:trPr>
        <w:tc>
          <w:tcPr>
            <w:tcW w:w="53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2</w:t>
            </w:r>
          </w:p>
        </w:tc>
        <w:tc>
          <w:tcPr>
            <w:tcW w:w="562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呈贡区建设区域性国际中心城市现代化科教创新新城行动计划（2019—2035）（修订）专项经费</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50000</w:t>
            </w:r>
          </w:p>
        </w:tc>
      </w:tr>
      <w:tr>
        <w:tblPrEx>
          <w:tblCellMar>
            <w:top w:w="0" w:type="dxa"/>
            <w:left w:w="108" w:type="dxa"/>
            <w:bottom w:w="0" w:type="dxa"/>
            <w:right w:w="108" w:type="dxa"/>
          </w:tblCellMar>
        </w:tblPrEx>
        <w:trPr>
          <w:trHeight w:val="308" w:hRule="atLeast"/>
        </w:trPr>
        <w:tc>
          <w:tcPr>
            <w:tcW w:w="616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c>
          <w:tcPr>
            <w:tcW w:w="233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52248.34</w:t>
            </w:r>
          </w:p>
        </w:tc>
      </w:tr>
    </w:tbl>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楷体" w:hAnsi="楷体" w:eastAsia="楷体" w:cs="楷体"/>
          <w:szCs w:val="32"/>
        </w:rPr>
      </w:pPr>
      <w:r>
        <w:rPr>
          <w:rFonts w:hint="eastAsia" w:ascii="楷体" w:hAnsi="楷体" w:eastAsia="楷体" w:cs="楷体"/>
          <w:szCs w:val="32"/>
        </w:rPr>
        <w:t>（二）项目绩效目标。</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olor w:val="000000"/>
          <w:sz w:val="32"/>
          <w:szCs w:val="32"/>
        </w:rPr>
      </w:pPr>
      <w:r>
        <w:rPr>
          <w:rFonts w:hint="default" w:ascii="Times New Roman" w:hAnsi="Times New Roman" w:cs="Times New Roman"/>
          <w:szCs w:val="32"/>
        </w:rPr>
        <w:t>1.项目绩效总目标</w:t>
      </w:r>
      <w:r>
        <w:rPr>
          <w:rFonts w:hint="default" w:ascii="Times New Roman" w:hAnsi="Times New Roman" w:cs="Times New Roman"/>
          <w:szCs w:val="32"/>
          <w:lang w:val="en-US" w:eastAsia="zh-CN"/>
        </w:rPr>
        <w:t>:</w:t>
      </w:r>
      <w:r>
        <w:rPr>
          <w:rFonts w:hint="default" w:ascii="Times New Roman" w:hAnsi="Times New Roman" w:eastAsia="仿宋_GB2312" w:cs="Times New Roman"/>
          <w:i w:val="0"/>
          <w:color w:val="000000"/>
          <w:sz w:val="32"/>
          <w:szCs w:val="32"/>
        </w:rPr>
        <w:t xml:space="preserve"> 我单位的所有项目都紧紧围绕增强服从服务于新区建设发展的意识和能力，结合部门职能职责， 加强调查研究，积极参与、配合区委办做好相关政策、文件的起草工作，积极发挥以文辅政的作用。在抓好政研室工作的同时，组织</w:t>
      </w:r>
      <w:r>
        <w:rPr>
          <w:rFonts w:hint="default" w:ascii="Times New Roman" w:hAnsi="Times New Roman" w:cs="Times New Roman"/>
          <w:i w:val="0"/>
          <w:color w:val="000000"/>
          <w:sz w:val="32"/>
          <w:szCs w:val="32"/>
          <w:lang w:eastAsia="zh-CN"/>
        </w:rPr>
        <w:t>、</w:t>
      </w:r>
      <w:r>
        <w:rPr>
          <w:rFonts w:hint="default" w:ascii="Times New Roman" w:hAnsi="Times New Roman" w:eastAsia="仿宋_GB2312" w:cs="Times New Roman"/>
          <w:i w:val="0"/>
          <w:color w:val="000000"/>
          <w:sz w:val="32"/>
          <w:szCs w:val="32"/>
        </w:rPr>
        <w:t>协调做好</w:t>
      </w:r>
      <w:r>
        <w:rPr>
          <w:rFonts w:hint="eastAsia" w:cs="Times New Roman"/>
          <w:sz w:val="32"/>
          <w:szCs w:val="32"/>
          <w:lang w:eastAsia="zh-CN"/>
        </w:rPr>
        <w:t>《</w:t>
      </w:r>
      <w:r>
        <w:rPr>
          <w:rFonts w:hint="default" w:ascii="Times New Roman" w:hAnsi="Times New Roman" w:eastAsia="仿宋_GB2312" w:cs="Times New Roman"/>
          <w:sz w:val="32"/>
          <w:szCs w:val="32"/>
        </w:rPr>
        <w:t>呈贡区建设区域性国际中心城市现代化科教创新新城行动计划（2019—2035）（修订）</w:t>
      </w:r>
      <w:r>
        <w:rPr>
          <w:rFonts w:hint="eastAsia" w:cs="Times New Roman"/>
          <w:sz w:val="32"/>
          <w:szCs w:val="32"/>
          <w:lang w:eastAsia="zh-CN"/>
        </w:rPr>
        <w:t>》</w:t>
      </w:r>
      <w:r>
        <w:rPr>
          <w:rFonts w:hint="default" w:ascii="Times New Roman" w:hAnsi="Times New Roman" w:eastAsia="仿宋_GB2312" w:cs="Times New Roman"/>
          <w:i w:val="0"/>
          <w:color w:val="000000"/>
          <w:sz w:val="32"/>
          <w:szCs w:val="32"/>
        </w:rPr>
        <w:t>等工作。</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2.</w:t>
      </w:r>
      <w:r>
        <w:rPr>
          <w:rFonts w:hint="default" w:ascii="Times New Roman" w:hAnsi="Times New Roman" w:eastAsia="仿宋_GB2312" w:cs="Times New Roman"/>
          <w:i w:val="0"/>
          <w:color w:val="000000"/>
          <w:sz w:val="32"/>
          <w:szCs w:val="32"/>
        </w:rPr>
        <w:t>项目绩效阶段性目标</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olor w:val="0000FF"/>
          <w:sz w:val="32"/>
          <w:szCs w:val="32"/>
          <w:highlight w:val="none"/>
        </w:rPr>
      </w:pPr>
      <w:r>
        <w:rPr>
          <w:rFonts w:hint="default" w:ascii="Times New Roman" w:hAnsi="Times New Roman" w:eastAsia="仿宋_GB2312" w:cs="Times New Roman"/>
          <w:i w:val="0"/>
          <w:color w:val="000000"/>
          <w:sz w:val="32"/>
          <w:szCs w:val="32"/>
          <w:highlight w:val="none"/>
        </w:rPr>
        <w:t>（</w:t>
      </w:r>
      <w:r>
        <w:rPr>
          <w:rFonts w:hint="eastAsia" w:eastAsia="宋体" w:cs="Times New Roman"/>
          <w:i w:val="0"/>
          <w:color w:val="000000"/>
          <w:sz w:val="32"/>
          <w:szCs w:val="32"/>
          <w:highlight w:val="none"/>
          <w:lang w:val="en-US" w:eastAsia="zh-CN"/>
        </w:rPr>
        <w:t>1</w:t>
      </w:r>
      <w:r>
        <w:rPr>
          <w:rFonts w:hint="default" w:ascii="Times New Roman" w:hAnsi="Times New Roman" w:eastAsia="仿宋_GB2312" w:cs="Times New Roman"/>
          <w:i w:val="0"/>
          <w:color w:val="000000"/>
          <w:sz w:val="32"/>
          <w:szCs w:val="32"/>
          <w:highlight w:val="none"/>
        </w:rPr>
        <w:t>）</w:t>
      </w: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rPr>
        <w:t>呈贡区建设区域性国际中心城市现代化科教创新新城行动计划（2019—2035）（修订）</w:t>
      </w:r>
      <w:r>
        <w:rPr>
          <w:rFonts w:hint="default" w:ascii="Times New Roman" w:hAnsi="Times New Roman" w:eastAsia="仿宋_GB2312" w:cs="Times New Roman"/>
          <w:i w:val="0"/>
          <w:color w:val="auto"/>
          <w:sz w:val="32"/>
          <w:szCs w:val="32"/>
          <w:highlight w:val="none"/>
        </w:rPr>
        <w:t>》到位资金</w:t>
      </w:r>
      <w:r>
        <w:rPr>
          <w:rFonts w:hint="eastAsia"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元，实际支出</w:t>
      </w:r>
      <w:r>
        <w:rPr>
          <w:rFonts w:hint="default" w:ascii="Times New Roman" w:hAnsi="Times New Roman" w:eastAsia="宋体" w:cs="Times New Roman"/>
          <w:i w:val="0"/>
          <w:color w:val="auto"/>
          <w:sz w:val="32"/>
          <w:szCs w:val="32"/>
          <w:highlight w:val="none"/>
          <w:lang w:val="en-US" w:eastAsia="zh-CN"/>
        </w:rPr>
        <w:t>50000</w:t>
      </w:r>
      <w:r>
        <w:rPr>
          <w:rFonts w:hint="default" w:ascii="Times New Roman" w:hAnsi="Times New Roman" w:eastAsia="仿宋_GB2312" w:cs="Times New Roman"/>
          <w:i w:val="0"/>
          <w:color w:val="auto"/>
          <w:sz w:val="32"/>
          <w:szCs w:val="32"/>
          <w:highlight w:val="none"/>
        </w:rPr>
        <w:t>元。</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三、绩效评价工作情况</w:t>
      </w:r>
    </w:p>
    <w:p>
      <w:pPr>
        <w:keepNext w:val="0"/>
        <w:keepLines w:val="0"/>
        <w:pageBreakBefore w:val="0"/>
        <w:kinsoku/>
        <w:wordWrap/>
        <w:overflowPunct/>
        <w:topLinePunct/>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绩效评价目的。</w:t>
      </w:r>
    </w:p>
    <w:p>
      <w:pPr>
        <w:keepNext w:val="0"/>
        <w:keepLines w:val="0"/>
        <w:pageBreakBefore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本次自评的目的是了解我单位</w:t>
      </w:r>
      <w:r>
        <w:rPr>
          <w:rFonts w:hint="default" w:ascii="Times New Roman" w:hAnsi="Times New Roman" w:cs="Times New Roman"/>
          <w:sz w:val="32"/>
          <w:szCs w:val="32"/>
          <w:lang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rPr>
        <w:t>年度财政资金预算支出的绩效状况，为今后预算安排提供决策支持。进一步增强本单位支出管理的责任，优化支出结构，提升预算管理水平，保障更好地履行职责，提高公务服务质量和财政资金使用效益，促进当地经济健康发展。</w:t>
      </w:r>
    </w:p>
    <w:p>
      <w:pPr>
        <w:keepNext w:val="0"/>
        <w:keepLines w:val="0"/>
        <w:pageBreakBefore w:val="0"/>
        <w:numPr>
          <w:ilvl w:val="0"/>
          <w:numId w:val="1"/>
        </w:numPr>
        <w:kinsoku/>
        <w:wordWrap/>
        <w:overflowPunct/>
        <w:topLinePunct/>
        <w:autoSpaceDE/>
        <w:autoSpaceDN/>
        <w:bidi w:val="0"/>
        <w:adjustRightInd/>
        <w:snapToGrid/>
        <w:spacing w:line="560" w:lineRule="exact"/>
        <w:ind w:left="-2" w:leftChars="0" w:firstLine="600" w:firstLineChars="0"/>
        <w:jc w:val="both"/>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绩效评价工作过程</w:t>
      </w:r>
      <w:r>
        <w:rPr>
          <w:rFonts w:hint="eastAsia" w:ascii="楷体" w:hAnsi="楷体" w:eastAsia="楷体" w:cs="楷体"/>
          <w:sz w:val="32"/>
          <w:szCs w:val="32"/>
          <w:lang w:eastAsia="zh-CN"/>
        </w:rPr>
        <w:t>。</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w:t>
      </w:r>
      <w:r>
        <w:rPr>
          <w:rFonts w:hint="default" w:ascii="Times New Roman" w:hAnsi="Times New Roman" w:eastAsia="仿宋_GB2312" w:cs="Times New Roman"/>
          <w:sz w:val="32"/>
          <w:szCs w:val="32"/>
        </w:rPr>
        <w:t>核实数据。对</w:t>
      </w:r>
      <w:r>
        <w:rPr>
          <w:rFonts w:hint="default" w:ascii="Times New Roman" w:hAnsi="Times New Roman" w:cs="Times New Roman"/>
          <w:sz w:val="32"/>
          <w:szCs w:val="32"/>
          <w:lang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rPr>
        <w:t>年度部门整体支出数据的准确性、真实性进行核实，将</w:t>
      </w:r>
      <w:r>
        <w:rPr>
          <w:rFonts w:hint="default" w:ascii="Times New Roman" w:hAnsi="Times New Roman" w:cs="Times New Roman"/>
          <w:sz w:val="32"/>
          <w:szCs w:val="32"/>
          <w:lang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rPr>
        <w:t>年度和20</w:t>
      </w:r>
      <w:r>
        <w:rPr>
          <w:rFonts w:hint="default" w:ascii="Times New Roman" w:hAnsi="Times New Roman" w:cs="Times New Roman"/>
          <w:sz w:val="32"/>
          <w:szCs w:val="32"/>
          <w:lang w:val="en-US" w:eastAsia="zh-CN"/>
        </w:rPr>
        <w:t>2</w:t>
      </w:r>
      <w:r>
        <w:rPr>
          <w:rFonts w:hint="eastAsia" w:cs="Times New Roman"/>
          <w:sz w:val="32"/>
          <w:szCs w:val="32"/>
          <w:lang w:val="en-US" w:eastAsia="zh-CN"/>
        </w:rPr>
        <w:t>1</w:t>
      </w:r>
      <w:r>
        <w:rPr>
          <w:rFonts w:hint="default" w:ascii="Times New Roman" w:hAnsi="Times New Roman" w:eastAsia="仿宋_GB2312" w:cs="Times New Roman"/>
          <w:sz w:val="32"/>
          <w:szCs w:val="32"/>
        </w:rPr>
        <w:t>年度部门整体支出情况进行比较分析。</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w:t>
      </w:r>
      <w:r>
        <w:rPr>
          <w:rFonts w:hint="default" w:ascii="Times New Roman" w:hAnsi="Times New Roman" w:eastAsia="仿宋_GB2312" w:cs="Times New Roman"/>
          <w:sz w:val="32"/>
          <w:szCs w:val="32"/>
        </w:rPr>
        <w:t>查阅资料。查阅</w:t>
      </w:r>
      <w:r>
        <w:rPr>
          <w:rFonts w:hint="default" w:ascii="Times New Roman" w:hAnsi="Times New Roman" w:cs="Times New Roman"/>
          <w:sz w:val="32"/>
          <w:szCs w:val="32"/>
          <w:lang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rPr>
        <w:t>年度预算安排、预算追加、资金管理、经费支出、资产管理等相关文件资料和财务凭证。</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w:t>
      </w:r>
      <w:r>
        <w:rPr>
          <w:rFonts w:hint="default" w:ascii="Times New Roman" w:hAnsi="Times New Roman" w:eastAsia="仿宋_GB2312" w:cs="Times New Roman"/>
          <w:sz w:val="32"/>
          <w:szCs w:val="32"/>
        </w:rPr>
        <w:t>归纳汇总。对收集的评价材料结合本单位情况进行综合分析、归纳汇总。</w:t>
      </w:r>
    </w:p>
    <w:p>
      <w:pPr>
        <w:pStyle w:val="17"/>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eastAsia" w:ascii="Times New Roman" w:hAnsi="Times New Roman" w:cs="Times New Roman"/>
          <w:kern w:val="2"/>
          <w:sz w:val="32"/>
          <w:szCs w:val="32"/>
          <w:lang w:val="en-US" w:eastAsia="zh-CN"/>
        </w:rPr>
        <w:t>.</w:t>
      </w:r>
      <w:r>
        <w:rPr>
          <w:rFonts w:hint="default" w:ascii="Times New Roman" w:hAnsi="Times New Roman" w:eastAsia="仿宋_GB2312" w:cs="Times New Roman"/>
          <w:kern w:val="2"/>
          <w:sz w:val="32"/>
          <w:szCs w:val="32"/>
        </w:rPr>
        <w:t>根据评价材料结合各项评价指标进行分析评分。</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形成绩效评价自评报告。</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四、绩效评价指标分析情况</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lang w:eastAsia="zh-CN"/>
        </w:rPr>
        <w:t>（一）</w:t>
      </w:r>
      <w:r>
        <w:rPr>
          <w:rFonts w:hint="eastAsia" w:ascii="楷体_GB2312" w:hAnsi="楷体_GB2312" w:eastAsia="楷体_GB2312" w:cs="楷体_GB2312"/>
          <w:szCs w:val="32"/>
          <w:highlight w:val="none"/>
        </w:rPr>
        <w:t>项目资金情况分析</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1.</w:t>
      </w:r>
      <w:r>
        <w:rPr>
          <w:rFonts w:hint="default" w:ascii="Times New Roman" w:hAnsi="Times New Roman" w:eastAsia="仿宋_GB2312" w:cs="Times New Roman"/>
          <w:i w:val="0"/>
          <w:color w:val="000000"/>
          <w:sz w:val="32"/>
          <w:szCs w:val="32"/>
        </w:rPr>
        <w:t>我单位项目资金到位及时，没有出现资金拖沓现象。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2.202</w:t>
      </w:r>
      <w:r>
        <w:rPr>
          <w:rFonts w:hint="eastAsia" w:eastAsia="宋体" w:cs="Times New Roman"/>
          <w:i w:val="0"/>
          <w:color w:val="000000"/>
          <w:sz w:val="32"/>
          <w:szCs w:val="32"/>
          <w:lang w:val="en-US" w:eastAsia="zh-CN"/>
        </w:rPr>
        <w:t>2</w:t>
      </w:r>
      <w:r>
        <w:rPr>
          <w:rFonts w:hint="default" w:ascii="Times New Roman" w:hAnsi="Times New Roman" w:eastAsia="仿宋_GB2312" w:cs="Times New Roman"/>
          <w:i w:val="0"/>
          <w:color w:val="000000"/>
          <w:sz w:val="32"/>
          <w:szCs w:val="32"/>
        </w:rPr>
        <w:t>年项目资金使用年初预算安排资金</w:t>
      </w:r>
      <w:r>
        <w:rPr>
          <w:rFonts w:hint="default" w:ascii="Times New Roman" w:hAnsi="Times New Roman" w:eastAsia="宋体" w:cs="Times New Roman"/>
          <w:i w:val="0"/>
          <w:color w:val="000000"/>
          <w:sz w:val="32"/>
          <w:szCs w:val="32"/>
          <w:lang w:val="en-US" w:eastAsia="zh-CN"/>
        </w:rPr>
        <w:t>285500</w:t>
      </w:r>
      <w:r>
        <w:rPr>
          <w:rFonts w:hint="default" w:ascii="Times New Roman" w:hAnsi="Times New Roman" w:eastAsia="仿宋_GB2312" w:cs="Times New Roman"/>
          <w:i w:val="0"/>
          <w:color w:val="000000"/>
          <w:sz w:val="32"/>
          <w:szCs w:val="32"/>
        </w:rPr>
        <w:t>元，实际使用资金</w:t>
      </w:r>
      <w:r>
        <w:rPr>
          <w:rFonts w:hint="default" w:ascii="Times New Roman" w:hAnsi="Times New Roman" w:cs="Times New Roman"/>
          <w:sz w:val="32"/>
          <w:szCs w:val="32"/>
          <w:lang w:val="en-US" w:eastAsia="zh-CN"/>
        </w:rPr>
        <w:t>52248.34</w:t>
      </w:r>
      <w:r>
        <w:rPr>
          <w:rFonts w:hint="default" w:ascii="Times New Roman" w:hAnsi="Times New Roman" w:eastAsia="仿宋_GB2312" w:cs="Times New Roman"/>
          <w:i w:val="0"/>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3.</w:t>
      </w:r>
      <w:r>
        <w:rPr>
          <w:rFonts w:hint="default" w:ascii="Times New Roman" w:hAnsi="Times New Roman" w:eastAsia="仿宋_GB2312" w:cs="Times New Roman"/>
          <w:i w:val="0"/>
          <w:color w:val="000000"/>
          <w:sz w:val="32"/>
          <w:szCs w:val="32"/>
        </w:rPr>
        <w:t>我单位项目资金严格按照相关财务制度进行管理使用，不存在挪用现象。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i w:val="0"/>
          <w:color w:val="000000"/>
          <w:sz w:val="32"/>
          <w:szCs w:val="32"/>
        </w:rPr>
      </w:pPr>
      <w:r>
        <w:rPr>
          <w:rFonts w:hint="eastAsia" w:ascii="楷体_GB2312" w:hAnsi="楷体_GB2312" w:eastAsia="楷体_GB2312" w:cs="楷体_GB2312"/>
          <w:i w:val="0"/>
          <w:color w:val="000000"/>
          <w:sz w:val="32"/>
          <w:szCs w:val="32"/>
          <w:lang w:eastAsia="zh-CN"/>
        </w:rPr>
        <w:t>（二）</w:t>
      </w:r>
      <w:r>
        <w:rPr>
          <w:rFonts w:hint="eastAsia" w:ascii="楷体_GB2312" w:hAnsi="楷体_GB2312" w:eastAsia="楷体_GB2312" w:cs="楷体_GB2312"/>
          <w:i w:val="0"/>
          <w:color w:val="000000"/>
          <w:sz w:val="32"/>
          <w:szCs w:val="32"/>
        </w:rPr>
        <w:t>项目实施情况分析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仿宋_GB2312" w:cs="Times New Roman"/>
          <w:i w:val="0"/>
          <w:color w:val="000000"/>
          <w:sz w:val="32"/>
          <w:szCs w:val="32"/>
        </w:rPr>
        <w:t>我单位积极开展相关项目组织协调工作确保项目按时按质完成。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i w:val="0"/>
          <w:color w:val="000000"/>
          <w:sz w:val="32"/>
          <w:szCs w:val="32"/>
        </w:rPr>
      </w:pPr>
      <w:r>
        <w:rPr>
          <w:rFonts w:hint="eastAsia" w:ascii="楷体_GB2312" w:hAnsi="楷体_GB2312" w:eastAsia="楷体_GB2312" w:cs="楷体_GB2312"/>
          <w:i w:val="0"/>
          <w:color w:val="000000"/>
          <w:sz w:val="32"/>
          <w:szCs w:val="32"/>
          <w:lang w:eastAsia="zh-CN"/>
        </w:rPr>
        <w:t>（三）</w:t>
      </w:r>
      <w:r>
        <w:rPr>
          <w:rFonts w:hint="eastAsia" w:ascii="楷体_GB2312" w:hAnsi="楷体_GB2312" w:eastAsia="楷体_GB2312" w:cs="楷体_GB2312"/>
          <w:i w:val="0"/>
          <w:color w:val="000000"/>
          <w:sz w:val="32"/>
          <w:szCs w:val="32"/>
        </w:rPr>
        <w:t>项目绩效情况分析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1.</w:t>
      </w:r>
      <w:r>
        <w:rPr>
          <w:rFonts w:hint="default" w:ascii="Times New Roman" w:hAnsi="Times New Roman" w:eastAsia="仿宋_GB2312" w:cs="Times New Roman"/>
          <w:i w:val="0"/>
          <w:color w:val="000000"/>
          <w:sz w:val="32"/>
          <w:szCs w:val="32"/>
        </w:rPr>
        <w:t>项目经济性分析。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仿宋_GB2312" w:cs="Times New Roman"/>
          <w:i w:val="0"/>
          <w:color w:val="000000"/>
          <w:sz w:val="32"/>
          <w:szCs w:val="32"/>
        </w:rPr>
        <w:t>（</w:t>
      </w:r>
      <w:r>
        <w:rPr>
          <w:rFonts w:hint="default" w:ascii="Times New Roman" w:hAnsi="Times New Roman" w:eastAsia="TimesNewRomanPSMT" w:cs="Times New Roman"/>
          <w:i w:val="0"/>
          <w:color w:val="000000"/>
          <w:sz w:val="32"/>
          <w:szCs w:val="32"/>
        </w:rPr>
        <w:t>1</w:t>
      </w:r>
      <w:r>
        <w:rPr>
          <w:rFonts w:hint="default" w:ascii="Times New Roman" w:hAnsi="Times New Roman" w:eastAsia="仿宋_GB2312" w:cs="Times New Roman"/>
          <w:i w:val="0"/>
          <w:color w:val="000000"/>
          <w:sz w:val="32"/>
          <w:szCs w:val="32"/>
        </w:rPr>
        <w:t>）成本（预算）控制情况：</w:t>
      </w:r>
      <w:r>
        <w:rPr>
          <w:rFonts w:hint="default" w:ascii="Times New Roman" w:hAnsi="Times New Roman" w:eastAsia="TimesNewRomanPSMT" w:cs="Times New Roman"/>
          <w:i w:val="0"/>
          <w:color w:val="000000"/>
          <w:sz w:val="32"/>
          <w:szCs w:val="32"/>
        </w:rPr>
        <w:t>202</w:t>
      </w:r>
      <w:r>
        <w:rPr>
          <w:rFonts w:hint="eastAsia" w:eastAsia="宋体" w:cs="Times New Roman"/>
          <w:i w:val="0"/>
          <w:color w:val="000000"/>
          <w:sz w:val="32"/>
          <w:szCs w:val="32"/>
          <w:lang w:val="en-US" w:eastAsia="zh-CN"/>
        </w:rPr>
        <w:t>2</w:t>
      </w:r>
      <w:r>
        <w:rPr>
          <w:rFonts w:hint="default" w:ascii="Times New Roman" w:hAnsi="Times New Roman" w:eastAsia="仿宋_GB2312" w:cs="Times New Roman"/>
          <w:i w:val="0"/>
          <w:color w:val="000000"/>
          <w:sz w:val="32"/>
          <w:szCs w:val="32"/>
        </w:rPr>
        <w:t>年呈贡区委政策研究室项目支出按照区财政局下达的预算批复</w:t>
      </w:r>
      <w:r>
        <w:rPr>
          <w:rFonts w:hint="default" w:ascii="Times New Roman" w:hAnsi="Times New Roman" w:cs="Times New Roman"/>
          <w:i w:val="0"/>
          <w:color w:val="000000"/>
          <w:sz w:val="32"/>
          <w:szCs w:val="32"/>
          <w:lang w:val="en-US" w:eastAsia="zh-CN"/>
        </w:rPr>
        <w:t>,</w:t>
      </w:r>
      <w:r>
        <w:rPr>
          <w:rFonts w:hint="default" w:ascii="Times New Roman" w:hAnsi="Times New Roman" w:eastAsia="仿宋_GB2312" w:cs="Times New Roman"/>
          <w:i w:val="0"/>
          <w:color w:val="000000"/>
          <w:sz w:val="32"/>
          <w:szCs w:val="32"/>
        </w:rPr>
        <w:t>对于项目按照实际开展进度均衡支付；实现内部报告审批制度，时监控支出情况；对于项目支出的经费使用情况进行监督检查。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仿宋_GB2312" w:cs="Times New Roman"/>
          <w:i w:val="0"/>
          <w:color w:val="000000"/>
          <w:sz w:val="32"/>
          <w:szCs w:val="32"/>
        </w:rPr>
        <w:t>（</w:t>
      </w:r>
      <w:r>
        <w:rPr>
          <w:rFonts w:hint="default" w:ascii="Times New Roman" w:hAnsi="Times New Roman" w:eastAsia="TimesNewRomanPSMT" w:cs="Times New Roman"/>
          <w:i w:val="0"/>
          <w:color w:val="000000"/>
          <w:sz w:val="32"/>
          <w:szCs w:val="32"/>
        </w:rPr>
        <w:t>2</w:t>
      </w:r>
      <w:r>
        <w:rPr>
          <w:rFonts w:hint="default" w:ascii="Times New Roman" w:hAnsi="Times New Roman" w:eastAsia="仿宋_GB2312" w:cs="Times New Roman"/>
          <w:i w:val="0"/>
          <w:color w:val="000000"/>
          <w:sz w:val="32"/>
          <w:szCs w:val="32"/>
        </w:rPr>
        <w:t>）预算支出节约情况：呈贡区委政策研究室</w:t>
      </w:r>
      <w:r>
        <w:rPr>
          <w:rFonts w:hint="default" w:ascii="Times New Roman" w:hAnsi="Times New Roman" w:eastAsia="TimesNewRomanPSMT" w:cs="Times New Roman"/>
          <w:i w:val="0"/>
          <w:color w:val="000000"/>
          <w:sz w:val="32"/>
          <w:szCs w:val="32"/>
        </w:rPr>
        <w:t>202</w:t>
      </w:r>
      <w:r>
        <w:rPr>
          <w:rFonts w:hint="eastAsia" w:eastAsia="宋体" w:cs="Times New Roman"/>
          <w:i w:val="0"/>
          <w:color w:val="000000"/>
          <w:sz w:val="32"/>
          <w:szCs w:val="32"/>
          <w:lang w:val="en-US" w:eastAsia="zh-CN"/>
        </w:rPr>
        <w:t>2</w:t>
      </w:r>
      <w:r>
        <w:rPr>
          <w:rFonts w:hint="default" w:ascii="Times New Roman" w:hAnsi="Times New Roman" w:eastAsia="仿宋_GB2312" w:cs="Times New Roman"/>
          <w:i w:val="0"/>
          <w:color w:val="000000"/>
          <w:sz w:val="32"/>
          <w:szCs w:val="32"/>
        </w:rPr>
        <w:t>年下达项目经费预算指标为</w:t>
      </w:r>
      <w:r>
        <w:rPr>
          <w:rFonts w:hint="default" w:ascii="Times New Roman" w:hAnsi="Times New Roman" w:eastAsia="宋体" w:cs="Times New Roman"/>
          <w:i w:val="0"/>
          <w:color w:val="000000"/>
          <w:sz w:val="32"/>
          <w:szCs w:val="32"/>
          <w:lang w:val="en-US" w:eastAsia="zh-CN"/>
        </w:rPr>
        <w:t>285500</w:t>
      </w:r>
      <w:r>
        <w:rPr>
          <w:rFonts w:hint="default" w:ascii="Times New Roman" w:hAnsi="Times New Roman" w:eastAsia="仿宋_GB2312" w:cs="Times New Roman"/>
          <w:i w:val="0"/>
          <w:color w:val="000000"/>
          <w:sz w:val="32"/>
          <w:szCs w:val="32"/>
        </w:rPr>
        <w:t>元，实际部门年度财政资金支出共计</w:t>
      </w:r>
      <w:r>
        <w:rPr>
          <w:rFonts w:hint="default" w:ascii="Times New Roman" w:hAnsi="Times New Roman" w:cs="Times New Roman"/>
          <w:sz w:val="32"/>
          <w:szCs w:val="32"/>
          <w:lang w:val="en-US" w:eastAsia="zh-CN"/>
        </w:rPr>
        <w:t>52248.34</w:t>
      </w:r>
      <w:r>
        <w:rPr>
          <w:rFonts w:hint="default" w:ascii="Times New Roman" w:hAnsi="Times New Roman" w:eastAsia="仿宋_GB2312" w:cs="Times New Roman"/>
          <w:i w:val="0"/>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TimesNewRomanPSMT" w:cs="Times New Roman"/>
          <w:i w:val="0"/>
          <w:color w:val="000000"/>
          <w:sz w:val="32"/>
          <w:szCs w:val="32"/>
        </w:rPr>
        <w:t>2.</w:t>
      </w:r>
      <w:r>
        <w:rPr>
          <w:rFonts w:hint="default" w:ascii="Times New Roman" w:hAnsi="Times New Roman" w:eastAsia="仿宋_GB2312" w:cs="Times New Roman"/>
          <w:i w:val="0"/>
          <w:color w:val="000000"/>
          <w:sz w:val="32"/>
          <w:szCs w:val="32"/>
        </w:rPr>
        <w:t>项目的效率性分析。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rPr>
      </w:pPr>
      <w:r>
        <w:rPr>
          <w:rFonts w:hint="default" w:ascii="Times New Roman" w:hAnsi="Times New Roman" w:eastAsia="仿宋_GB2312" w:cs="Times New Roman"/>
          <w:i w:val="0"/>
          <w:color w:val="000000"/>
          <w:sz w:val="32"/>
          <w:szCs w:val="32"/>
        </w:rPr>
        <w:t>（</w:t>
      </w:r>
      <w:r>
        <w:rPr>
          <w:rFonts w:hint="default" w:ascii="Times New Roman" w:hAnsi="Times New Roman" w:eastAsia="TimesNewRomanPSMT" w:cs="Times New Roman"/>
          <w:i w:val="0"/>
          <w:color w:val="000000"/>
          <w:sz w:val="32"/>
          <w:szCs w:val="32"/>
        </w:rPr>
        <w:t>1</w:t>
      </w:r>
      <w:r>
        <w:rPr>
          <w:rFonts w:hint="default" w:ascii="Times New Roman" w:hAnsi="Times New Roman" w:eastAsia="仿宋_GB2312" w:cs="Times New Roman"/>
          <w:i w:val="0"/>
          <w:color w:val="000000"/>
          <w:sz w:val="32"/>
          <w:szCs w:val="32"/>
        </w:rPr>
        <w:t>）</w:t>
      </w:r>
      <w:r>
        <w:rPr>
          <w:rFonts w:hint="default" w:ascii="Times New Roman" w:hAnsi="Times New Roman" w:eastAsia="TimesNewRomanPSMT" w:cs="Times New Roman"/>
          <w:i w:val="0"/>
          <w:color w:val="000000"/>
          <w:sz w:val="32"/>
          <w:szCs w:val="32"/>
        </w:rPr>
        <w:t>202</w:t>
      </w:r>
      <w:r>
        <w:rPr>
          <w:rFonts w:hint="eastAsia" w:eastAsia="宋体" w:cs="Times New Roman"/>
          <w:i w:val="0"/>
          <w:color w:val="000000"/>
          <w:sz w:val="32"/>
          <w:szCs w:val="32"/>
          <w:lang w:val="en-US" w:eastAsia="zh-CN"/>
        </w:rPr>
        <w:t>2</w:t>
      </w:r>
      <w:r>
        <w:rPr>
          <w:rFonts w:hint="default" w:ascii="Times New Roman" w:hAnsi="Times New Roman" w:eastAsia="TimesNewRomanPSMT" w:cs="Times New Roman"/>
          <w:i w:val="0"/>
          <w:color w:val="000000"/>
          <w:sz w:val="32"/>
          <w:szCs w:val="32"/>
        </w:rPr>
        <w:t xml:space="preserve"> </w:t>
      </w:r>
      <w:r>
        <w:rPr>
          <w:rFonts w:hint="default" w:ascii="Times New Roman" w:hAnsi="Times New Roman" w:eastAsia="仿宋_GB2312" w:cs="Times New Roman"/>
          <w:i w:val="0"/>
          <w:color w:val="000000"/>
          <w:sz w:val="32"/>
          <w:szCs w:val="32"/>
        </w:rPr>
        <w:t>年呈贡区委政策研究室各项日常性工作正常有效开展。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color w:val="000000"/>
          <w:sz w:val="32"/>
          <w:szCs w:val="32"/>
          <w:highlight w:val="none"/>
        </w:rPr>
      </w:pPr>
      <w:r>
        <w:rPr>
          <w:rFonts w:hint="default" w:ascii="Times New Roman" w:hAnsi="Times New Roman" w:eastAsia="仿宋_GB2312" w:cs="Times New Roman"/>
          <w:i w:val="0"/>
          <w:color w:val="000000"/>
          <w:sz w:val="32"/>
          <w:szCs w:val="32"/>
          <w:highlight w:val="none"/>
        </w:rPr>
        <w:t>（</w:t>
      </w:r>
      <w:r>
        <w:rPr>
          <w:rFonts w:hint="default" w:ascii="Times New Roman" w:hAnsi="Times New Roman" w:eastAsia="TimesNewRomanPSMT" w:cs="Times New Roman"/>
          <w:i w:val="0"/>
          <w:color w:val="000000"/>
          <w:sz w:val="32"/>
          <w:szCs w:val="32"/>
          <w:highlight w:val="none"/>
        </w:rPr>
        <w:t>2</w:t>
      </w:r>
      <w:r>
        <w:rPr>
          <w:rFonts w:hint="default" w:ascii="Times New Roman" w:hAnsi="Times New Roman" w:eastAsia="仿宋_GB2312" w:cs="Times New Roman"/>
          <w:i w:val="0"/>
          <w:color w:val="000000"/>
          <w:sz w:val="32"/>
          <w:szCs w:val="32"/>
          <w:highlight w:val="none"/>
        </w:rPr>
        <w:t>）完成质量：</w:t>
      </w:r>
      <w:r>
        <w:rPr>
          <w:rFonts w:hint="default" w:ascii="Times New Roman" w:hAnsi="Times New Roman" w:eastAsia="TimesNewRomanPSMT" w:cs="Times New Roman"/>
          <w:i w:val="0"/>
          <w:color w:val="000000"/>
          <w:sz w:val="32"/>
          <w:szCs w:val="32"/>
          <w:highlight w:val="none"/>
        </w:rPr>
        <w:t>202</w:t>
      </w:r>
      <w:r>
        <w:rPr>
          <w:rFonts w:hint="eastAsia" w:eastAsia="宋体" w:cs="Times New Roman"/>
          <w:i w:val="0"/>
          <w:color w:val="000000"/>
          <w:sz w:val="32"/>
          <w:szCs w:val="32"/>
          <w:highlight w:val="none"/>
          <w:lang w:val="en-US" w:eastAsia="zh-CN"/>
        </w:rPr>
        <w:t>2</w:t>
      </w:r>
      <w:r>
        <w:rPr>
          <w:rFonts w:hint="default" w:ascii="Times New Roman" w:hAnsi="Times New Roman" w:eastAsia="仿宋_GB2312" w:cs="Times New Roman"/>
          <w:i w:val="0"/>
          <w:color w:val="000000"/>
          <w:sz w:val="32"/>
          <w:szCs w:val="32"/>
          <w:highlight w:val="none"/>
        </w:rPr>
        <w:t>年区委政策研究室以习近平新时代中国特色社会主义思想为指导</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认真践行科学发展观，深入贯彻落实党的十九</w:t>
      </w:r>
      <w:r>
        <w:rPr>
          <w:rFonts w:hint="eastAsia" w:cs="Times New Roman"/>
          <w:i w:val="0"/>
          <w:color w:val="000000"/>
          <w:sz w:val="32"/>
          <w:szCs w:val="32"/>
          <w:highlight w:val="none"/>
          <w:lang w:eastAsia="zh-CN"/>
        </w:rPr>
        <w:t>大</w:t>
      </w:r>
      <w:r>
        <w:rPr>
          <w:rFonts w:hint="default" w:ascii="Times New Roman" w:hAnsi="Times New Roman" w:eastAsia="仿宋_GB2312" w:cs="Times New Roman"/>
          <w:i w:val="0"/>
          <w:color w:val="000000"/>
          <w:sz w:val="32"/>
          <w:szCs w:val="32"/>
          <w:highlight w:val="none"/>
        </w:rPr>
        <w:t>精神及习近平重要系列讲话精神特别是考察云南省的讲话精神。围绕区委、区政府的中心工作，增强谋发展、干事业、求跨越的信心和能力</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开展调查研究，做好区委、政府重要政策、重大决策的调研及文稿的起草工作</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做好重要文件的起草工作，发挥以文辅政的作用，提高服从服务新区建设的能力</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较好地完成了各项工作任务。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cs="Times New Roman"/>
          <w:szCs w:val="32"/>
          <w:highlight w:val="none"/>
        </w:rPr>
      </w:pPr>
      <w:r>
        <w:rPr>
          <w:rFonts w:hint="default" w:ascii="Times New Roman" w:hAnsi="Times New Roman" w:eastAsia="仿宋_GB2312" w:cs="Times New Roman"/>
          <w:i w:val="0"/>
          <w:color w:val="000000"/>
          <w:sz w:val="32"/>
          <w:szCs w:val="32"/>
          <w:highlight w:val="none"/>
        </w:rPr>
        <w:t>（</w:t>
      </w:r>
      <w:r>
        <w:rPr>
          <w:rFonts w:hint="default" w:ascii="Times New Roman" w:hAnsi="Times New Roman" w:eastAsia="TimesNewRomanPSMT" w:cs="Times New Roman"/>
          <w:i w:val="0"/>
          <w:color w:val="000000"/>
          <w:sz w:val="32"/>
          <w:szCs w:val="32"/>
          <w:highlight w:val="none"/>
        </w:rPr>
        <w:t>3</w:t>
      </w:r>
      <w:r>
        <w:rPr>
          <w:rFonts w:hint="default" w:ascii="Times New Roman" w:hAnsi="Times New Roman" w:eastAsia="仿宋_GB2312" w:cs="Times New Roman"/>
          <w:i w:val="0"/>
          <w:color w:val="000000"/>
          <w:sz w:val="32"/>
          <w:szCs w:val="32"/>
          <w:highlight w:val="none"/>
        </w:rPr>
        <w:t>）在费用性支出中，呈贡区委政策研究室依据</w:t>
      </w:r>
      <w:r>
        <w:rPr>
          <w:rFonts w:hint="eastAsia" w:cs="Times New Roman"/>
          <w:i w:val="0"/>
          <w:color w:val="000000"/>
          <w:sz w:val="32"/>
          <w:szCs w:val="32"/>
          <w:highlight w:val="none"/>
          <w:lang w:eastAsia="zh-CN"/>
        </w:rPr>
        <w:t>中央</w:t>
      </w:r>
      <w:r>
        <w:rPr>
          <w:rFonts w:hint="default" w:ascii="Times New Roman" w:hAnsi="Times New Roman" w:eastAsia="仿宋_GB2312" w:cs="Times New Roman"/>
          <w:i w:val="0"/>
          <w:color w:val="000000"/>
          <w:sz w:val="32"/>
          <w:szCs w:val="32"/>
          <w:highlight w:val="none"/>
        </w:rPr>
        <w:t>八项规定及《 党政机关厉行节约反对浪费条例》等制度，在保障日常工作的正常有序开展的情况下，做到了资金略有结余。项目支出方面，呈贡区委政策研究室严格审查编制方案和执行政府采购程序</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对不符合规定的支出做到事前控制，保证了项目资金使用的合规</w:t>
      </w:r>
      <w:r>
        <w:rPr>
          <w:rFonts w:hint="default" w:ascii="Times New Roman" w:hAnsi="Times New Roman" w:cs="Times New Roman"/>
          <w:i w:val="0"/>
          <w:color w:val="000000"/>
          <w:sz w:val="32"/>
          <w:szCs w:val="32"/>
          <w:highlight w:val="none"/>
          <w:lang w:eastAsia="zh-CN"/>
        </w:rPr>
        <w:t>、</w:t>
      </w:r>
      <w:r>
        <w:rPr>
          <w:rFonts w:hint="default" w:ascii="Times New Roman" w:hAnsi="Times New Roman" w:eastAsia="仿宋_GB2312" w:cs="Times New Roman"/>
          <w:i w:val="0"/>
          <w:color w:val="000000"/>
          <w:sz w:val="32"/>
          <w:szCs w:val="32"/>
          <w:highlight w:val="none"/>
        </w:rPr>
        <w:t>有效。</w:t>
      </w:r>
      <w:bookmarkStart w:id="0" w:name="_GoBack"/>
      <w:bookmarkEnd w:id="0"/>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3.项目的效益性分析。</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lang w:val="en-US" w:eastAsia="zh-CN"/>
        </w:rPr>
        <w:t>高位统筹协调、完成年度改革任务</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yellow"/>
          <w:lang w:eastAsia="zh-CN"/>
        </w:rPr>
      </w:pPr>
      <w:r>
        <w:rPr>
          <w:rFonts w:hint="default" w:ascii="Times New Roman" w:hAnsi="Times New Roman" w:eastAsia="仿宋_GB2312" w:cs="Times New Roman"/>
          <w:b w:val="0"/>
          <w:bCs w:val="0"/>
          <w:sz w:val="32"/>
          <w:szCs w:val="32"/>
          <w:highlight w:val="none"/>
          <w:u w:val="none"/>
          <w:lang w:val="en-US" w:eastAsia="zh-CN"/>
        </w:rPr>
        <w:t>今年以来共召开全面深化改革委员会1次，改革办主任暨联络员会议1次，进一步统筹协调本年度全面深化改革工作。按照区委深改委工作要求，印发《呈贡区2022年全面深化改革工作要点》，明确我区2022年全面深化改革工作任务79项，截至目前，共完成56项，正在推进19项，因上级文件未出台而暂时无法完成4项。严格落实《呈贡区2022年全面深化改革工作目标管理考核办法》及《呈贡区2022年度全面深化改革督察工作计划》，认真开展考核、督察等各项工作。牵头完成市级下达全面深化改革工作任务，上报改革信息7篇、调研报告4篇、督察报告4篇。</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（2）围绕中心、积极发挥以文辅政职责</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按照区委三届三次全会报告中指出的工作迟钝，</w:t>
      </w:r>
      <w:r>
        <w:rPr>
          <w:rFonts w:hint="default" w:ascii="Times New Roman" w:hAnsi="Times New Roman" w:eastAsia="仿宋_GB2312" w:cs="Times New Roman"/>
          <w:b w:val="0"/>
          <w:bCs w:val="0"/>
          <w:kern w:val="0"/>
          <w:sz w:val="32"/>
          <w:szCs w:val="32"/>
          <w:lang w:val="en-US" w:eastAsia="zh-CN" w:bidi="ar"/>
        </w:rPr>
        <w:t>对形势变化、机遇风险不敏感，政策研究不够及时主动，导致工作相对形势演变明显滞后</w:t>
      </w:r>
      <w:r>
        <w:rPr>
          <w:rFonts w:hint="default" w:ascii="Times New Roman" w:hAnsi="Times New Roman" w:eastAsia="仿宋_GB2312" w:cs="Times New Roman"/>
          <w:b w:val="0"/>
          <w:bCs w:val="0"/>
          <w:sz w:val="32"/>
          <w:szCs w:val="32"/>
          <w:lang w:val="en-US" w:eastAsia="zh-CN"/>
        </w:rPr>
        <w:t>等问题，我单位尽力而为、量力而行，积极作为、深入开展政策研究相关工作。一是</w:t>
      </w:r>
      <w:r>
        <w:rPr>
          <w:rFonts w:hint="default" w:ascii="Times New Roman" w:hAnsi="Times New Roman" w:eastAsia="仿宋_GB2312" w:cs="Times New Roman"/>
          <w:b w:val="0"/>
          <w:bCs w:val="0"/>
          <w:kern w:val="0"/>
          <w:sz w:val="32"/>
          <w:szCs w:val="32"/>
          <w:lang w:val="en-US" w:eastAsia="zh-CN" w:bidi="ar"/>
        </w:rPr>
        <w:t>完成《呈贡区建设区域性国际中心城市现代化科教创新新城行动计划（2019-2035）（修订）》，</w:t>
      </w:r>
      <w:r>
        <w:rPr>
          <w:rFonts w:hint="default" w:ascii="Times New Roman" w:hAnsi="Times New Roman" w:eastAsia="仿宋_GB2312" w:cs="Times New Roman"/>
          <w:b w:val="0"/>
          <w:bCs w:val="0"/>
          <w:sz w:val="32"/>
          <w:szCs w:val="32"/>
          <w:lang w:val="en-US" w:eastAsia="zh-CN"/>
        </w:rPr>
        <w:t>配合做好区委三届二次、三次全会报告等重要文稿的起草、校对工作，认真做好区委办安排的其他重要文稿的校对工作。二是紧扣目标、加强决策参考。围绕抢抓“十四五”东西部科技合作促进“科技入滇”、在强省会行动中积极争取省市政策支持我区发展、学习借鉴观山湖区发展经验、进一步提升昆明南站商业氛围以及加快融入区域协调发展等内容，撰写《决策参考》6期。三是对标先进、强化学习研究。围绕福建省推动数字经济高质量发展、</w:t>
      </w:r>
      <w:r>
        <w:rPr>
          <w:rFonts w:hint="default" w:ascii="Times New Roman" w:hAnsi="Times New Roman" w:eastAsia="仿宋_GB2312" w:cs="Times New Roman"/>
          <w:b w:val="0"/>
          <w:bCs w:val="0"/>
          <w:sz w:val="32"/>
          <w:szCs w:val="32"/>
        </w:rPr>
        <w:t>崂山区发展楼宇经济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武汉城市圈</w:t>
      </w:r>
      <w:r>
        <w:rPr>
          <w:rFonts w:hint="default" w:ascii="Times New Roman" w:hAnsi="Times New Roman" w:eastAsia="仿宋_GB2312" w:cs="Times New Roman"/>
          <w:b w:val="0"/>
          <w:bCs w:val="0"/>
          <w:sz w:val="32"/>
          <w:szCs w:val="32"/>
          <w:lang w:eastAsia="zh-CN"/>
        </w:rPr>
        <w:t>发展</w:t>
      </w:r>
      <w:r>
        <w:rPr>
          <w:rFonts w:hint="default" w:ascii="Times New Roman" w:hAnsi="Times New Roman" w:eastAsia="仿宋_GB2312" w:cs="Times New Roman"/>
          <w:b w:val="0"/>
          <w:bCs w:val="0"/>
          <w:sz w:val="32"/>
          <w:szCs w:val="32"/>
        </w:rPr>
        <w:t>“飞地经济”</w:t>
      </w:r>
      <w:r>
        <w:rPr>
          <w:rFonts w:hint="default" w:ascii="Times New Roman" w:hAnsi="Times New Roman" w:eastAsia="仿宋_GB2312" w:cs="Times New Roman"/>
          <w:b w:val="0"/>
          <w:bCs w:val="0"/>
          <w:sz w:val="32"/>
          <w:szCs w:val="32"/>
          <w:lang w:eastAsia="zh-CN"/>
        </w:rPr>
        <w:t>、上海市浦东新区破解发展瓶颈、</w:t>
      </w:r>
      <w:r>
        <w:rPr>
          <w:rFonts w:hint="default" w:ascii="Times New Roman" w:hAnsi="Times New Roman" w:eastAsia="仿宋_GB2312" w:cs="Times New Roman"/>
          <w:b w:val="0"/>
          <w:bCs w:val="0"/>
          <w:sz w:val="32"/>
          <w:szCs w:val="32"/>
        </w:rPr>
        <w:t>德国</w:t>
      </w:r>
      <w:r>
        <w:rPr>
          <w:rFonts w:hint="default" w:ascii="Times New Roman" w:hAnsi="Times New Roman" w:eastAsia="仿宋_GB2312" w:cs="Times New Roman"/>
          <w:b w:val="0"/>
          <w:bCs w:val="0"/>
          <w:sz w:val="32"/>
          <w:szCs w:val="32"/>
          <w:lang w:val="en-US" w:eastAsia="zh-CN"/>
        </w:rPr>
        <w:t>弗劳恩霍夫研究所发挥效能、福建优化营商环境经验以及石家庄市探索“以商招商”模式等内容撰写《改革参阅》7期。四是强化收集整合、做好《呈贡政研》编撰工作。根据各单位投报稿件，围绕打造一流营商环境、我区商用楼宇企业入驻情况等内容编撰《呈贡政研》2期。</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（3）围绕重点、切实开展调查研究</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
        </w:rPr>
        <w:t>今年以来，我单位结合职能职责以及重点工作方向，</w:t>
      </w:r>
      <w:r>
        <w:rPr>
          <w:rFonts w:hint="default" w:ascii="Times New Roman" w:hAnsi="Times New Roman" w:eastAsia="仿宋_GB2312" w:cs="Times New Roman"/>
          <w:b w:val="0"/>
          <w:bCs w:val="0"/>
          <w:sz w:val="32"/>
          <w:szCs w:val="32"/>
          <w:lang w:val="en-US" w:eastAsia="zh-CN"/>
        </w:rPr>
        <w:t>紧扣“当好排头兵”大讨论大竞赛活动精神，围绕校地融合、高铁经济发展等内容，</w:t>
      </w:r>
      <w:r>
        <w:rPr>
          <w:rFonts w:hint="default" w:ascii="Times New Roman" w:hAnsi="Times New Roman" w:eastAsia="仿宋_GB2312" w:cs="Times New Roman"/>
          <w:b w:val="0"/>
          <w:bCs w:val="0"/>
          <w:kern w:val="2"/>
          <w:sz w:val="32"/>
          <w:szCs w:val="32"/>
          <w:lang w:val="en-US" w:eastAsia="zh-CN" w:bidi="ar"/>
        </w:rPr>
        <w:t>通过实地调研、座谈调研等多种方式，加大调研力度。一是深入企业，围绕企业运转过程中存在需要解决的问题需求或意见建议进行调研。二是与呈贡信息产业园区管委会、区委统战部、昆明南站地区综合管理办等10余家单位和街道就工作开展中存在的困难问题以及破解思路进行了深入思考和探讨。三是积极参加区政协办公室组织的调研活动，围绕高铁枢纽型经济产业、大健康产业发展情况、创新发展理念、强化产业招商等方面深入部门及企业开展调查研究。</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（4）提振精神、深入开展争当排头兵系列活动</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根据《呈贡区开展“当好排头兵”大讨论大竞赛活动工作方案》等文件要求，以牢固树立创先争优意识，进一步激发工作活力为主题，结合实地调研、座谈调研、书面调研成果，联系我区实际，认真撰写调研报告。二是按照“当好排头兵”系列活动工作要求，积极组织动员全区各单位深入开展调查研究，收集调研报告30余篇。三是按照呈贡区开展“当好排头兵”大讨论大竞赛活动领导小组工作安排，参与大讨论活动督导、大讨论大竞赛活动及党建工作督导活动，深入了解各单位在“当好排头兵”工作开展中存在的困难问题以及优秀经验做法。</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（5）完成市委政研室安排各项工作</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
        </w:rPr>
        <w:t>一是根据工作安排，搜集全区“当好排头兵”大讨论活动研讨案例，上报正面案例2例，反面案例2例，并按时报送“当好排头兵”活动开展情况。二是草拟《呈贡区关于强省会行动的建议》《呈贡区关于&lt;关于开展“强省会”行动的政策建议（征求意见稿）&gt;的反馈意见》，并及时提供有关材料。三是陪同市委政研室就数字经济发展的现状和问题至浪潮昆明云计算产业园、中国移动云南数据中心进行实地调研；围绕社区疫情防控情况，陪同省委政研室、市委政研室至碧潭社区、春融社区开展实地调研。四是配合市委政研室做好昆明市园区</w:t>
      </w:r>
      <w:r>
        <w:rPr>
          <w:rFonts w:hint="default" w:ascii="Times New Roman" w:hAnsi="Times New Roman" w:eastAsia="仿宋_GB2312" w:cs="Times New Roman"/>
          <w:b w:val="0"/>
          <w:bCs w:val="0"/>
          <w:color w:val="000000"/>
          <w:sz w:val="32"/>
          <w:szCs w:val="32"/>
          <w:lang w:eastAsia="zh-CN"/>
        </w:rPr>
        <w:t>生活服务配套相关调研工作，积极提供昆明呈贡信息产业园相关资料。</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（6）规范内部管理，做好日常工作</w:t>
      </w:r>
    </w:p>
    <w:p>
      <w:pPr>
        <w:keepNext w:val="0"/>
        <w:keepLines w:val="0"/>
        <w:pageBreakBefore w:val="0"/>
        <w:widowControl w:val="0"/>
        <w:tabs>
          <w:tab w:val="center" w:pos="720"/>
          <w:tab w:val="center" w:pos="7920"/>
          <w:tab w:val="center" w:pos="8100"/>
        </w:tabs>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
        </w:rPr>
        <w:t>一是做好疫情防控工作。认真按照省、市、区关于疫情防控的工作要求，严格落实常态化疫情防控管理，配合做好社区疫情防控等相关工作。二是</w:t>
      </w:r>
      <w:r>
        <w:rPr>
          <w:rFonts w:hint="default" w:ascii="Times New Roman" w:hAnsi="Times New Roman" w:eastAsia="仿宋_GB2312" w:cs="Times New Roman"/>
          <w:b w:val="0"/>
          <w:bCs w:val="0"/>
          <w:kern w:val="2"/>
          <w:sz w:val="32"/>
          <w:szCs w:val="32"/>
          <w:highlight w:val="none"/>
          <w:lang w:val="en-US" w:eastAsia="zh-CN" w:bidi="ar"/>
        </w:rPr>
        <w:t>做好财务人事工作。严格按照区财政局工作要求，认真做好预决算公开、2022年度预算指标体系调整等工作</w:t>
      </w:r>
      <w:r>
        <w:rPr>
          <w:rFonts w:hint="default" w:ascii="Times New Roman" w:hAnsi="Times New Roman" w:eastAsia="仿宋_GB2312" w:cs="Times New Roman"/>
          <w:b w:val="0"/>
          <w:bCs w:val="0"/>
          <w:kern w:val="2"/>
          <w:sz w:val="32"/>
          <w:szCs w:val="32"/>
          <w:lang w:val="en-US" w:eastAsia="zh-CN" w:bidi="ar"/>
        </w:rPr>
        <w:t>。三是做好档案工作。按照档案工作要求，认真梳理需移交档案，及时整理近期产生的档案资料，保证档案的完整性。四是做好保密工作。对照《昆明市呈贡区2022年度保密工作目标任务考核办法》，认真开展相关工作。五是认真落实好全国文明城市常态长效机制，做好市域社会治理现代化、依法治区、“国家卫生城市”复审等各项工作。</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五、综合评价情况及评价结论。</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Cs w:val="32"/>
          <w:lang w:val="en-US" w:eastAsia="zh-CN"/>
        </w:rPr>
      </w:pPr>
      <w:r>
        <w:rPr>
          <w:rFonts w:hint="default" w:ascii="Times New Roman" w:hAnsi="Times New Roman" w:eastAsia="仿宋_GB2312" w:cs="Times New Roman"/>
          <w:i w:val="0"/>
          <w:color w:val="000000"/>
          <w:sz w:val="32"/>
          <w:szCs w:val="32"/>
        </w:rPr>
        <w:t>我单位项目开展有序，完成了区委区政府下达的各项任务，</w:t>
      </w:r>
      <w:r>
        <w:rPr>
          <w:rFonts w:hint="default" w:ascii="Times New Roman" w:hAnsi="Times New Roman" w:cs="Times New Roman"/>
          <w:i w:val="0"/>
          <w:color w:val="000000"/>
          <w:sz w:val="32"/>
          <w:szCs w:val="32"/>
          <w:lang w:eastAsia="zh-CN"/>
        </w:rPr>
        <w:t>自评分为</w:t>
      </w:r>
      <w:r>
        <w:rPr>
          <w:rFonts w:hint="default" w:ascii="Times New Roman" w:hAnsi="Times New Roman" w:cs="Times New Roman"/>
          <w:i w:val="0"/>
          <w:color w:val="000000"/>
          <w:sz w:val="32"/>
          <w:szCs w:val="32"/>
          <w:lang w:val="en-US" w:eastAsia="zh-CN"/>
        </w:rPr>
        <w:t>100分。</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六、绩效评价结果应用建议。</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cs="Times New Roman"/>
          <w:b/>
          <w:szCs w:val="32"/>
        </w:rPr>
      </w:pPr>
      <w:r>
        <w:rPr>
          <w:rFonts w:hint="default" w:ascii="Times New Roman" w:hAnsi="Times New Roman" w:eastAsia="仿宋_GB2312" w:cs="Times New Roman"/>
          <w:i w:val="0"/>
          <w:color w:val="000000"/>
          <w:sz w:val="32"/>
          <w:szCs w:val="32"/>
        </w:rPr>
        <w:t>我单位将会结合相关部门要求， 对绩效评价资料向社会公开。</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七、主要经验及做法、存在的问题和建议。</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Cs w:val="32"/>
          <w:lang w:eastAsia="zh-CN"/>
        </w:rPr>
      </w:pPr>
      <w:r>
        <w:rPr>
          <w:rFonts w:hint="default" w:ascii="Times New Roman" w:hAnsi="Times New Roman" w:cs="Times New Roman"/>
          <w:b w:val="0"/>
          <w:bCs/>
          <w:szCs w:val="32"/>
          <w:lang w:eastAsia="zh-CN"/>
        </w:rPr>
        <w:t>无</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rPr>
      </w:pPr>
      <w:r>
        <w:rPr>
          <w:rFonts w:hint="eastAsia" w:ascii="黑体" w:hAnsi="黑体" w:eastAsia="黑体" w:cs="黑体"/>
          <w:b w:val="0"/>
          <w:bCs/>
          <w:szCs w:val="32"/>
        </w:rPr>
        <w:t>八、其他需说明的问题。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rPr>
      </w:pPr>
      <w:r>
        <w:rPr>
          <w:rFonts w:hint="default" w:ascii="Times New Roman" w:hAnsi="Times New Roman" w:cs="Times New Roman"/>
          <w:sz w:val="32"/>
          <w:szCs w:val="32"/>
          <w:lang w:eastAsia="zh-CN"/>
        </w:rPr>
        <w:t>无其他需要说明的问题。</w:t>
      </w:r>
    </w:p>
    <w:p>
      <w:pPr>
        <w:pStyle w:val="2"/>
        <w:rPr>
          <w:rFonts w:hint="default"/>
          <w:lang w:eastAsia="zh-CN"/>
        </w:rPr>
      </w:pPr>
    </w:p>
    <w:p>
      <w:pPr>
        <w:pStyle w:val="3"/>
        <w:pageBreakBefore w:val="0"/>
        <w:widowControl w:val="0"/>
        <w:kinsoku/>
        <w:wordWrap/>
        <w:overflowPunct/>
        <w:topLinePunct w:val="0"/>
        <w:autoSpaceDE/>
        <w:autoSpaceDN/>
        <w:bidi w:val="0"/>
        <w:adjustRightInd/>
        <w:snapToGrid/>
        <w:spacing w:before="0" w:after="0" w:line="560" w:lineRule="exact"/>
        <w:ind w:firstLine="2560" w:firstLineChars="800"/>
        <w:textAlignment w:val="auto"/>
        <w:rPr>
          <w:rFonts w:hint="eastAsia"/>
          <w:b w:val="0"/>
          <w:bCs w:val="0"/>
          <w:sz w:val="32"/>
          <w:szCs w:val="32"/>
          <w:lang w:eastAsia="zh-CN"/>
        </w:rPr>
      </w:pPr>
      <w:r>
        <w:rPr>
          <w:rFonts w:hint="eastAsia"/>
          <w:b w:val="0"/>
          <w:bCs w:val="0"/>
          <w:sz w:val="32"/>
          <w:szCs w:val="32"/>
          <w:lang w:eastAsia="zh-CN"/>
        </w:rPr>
        <w:t>中共昆明市呈贡区委员会政策研究室</w:t>
      </w:r>
    </w:p>
    <w:p>
      <w:pPr>
        <w:pageBreakBefore w:val="0"/>
        <w:widowControl w:val="0"/>
        <w:kinsoku/>
        <w:wordWrap/>
        <w:overflowPunct/>
        <w:topLinePunct w:val="0"/>
        <w:autoSpaceDE/>
        <w:autoSpaceDN/>
        <w:bidi w:val="0"/>
        <w:adjustRightInd/>
        <w:snapToGrid/>
        <w:spacing w:line="560" w:lineRule="exact"/>
        <w:textAlignment w:val="auto"/>
        <w:rPr>
          <w:rFonts w:hint="eastAsia"/>
          <w:b w:val="0"/>
          <w:bCs w:val="0"/>
          <w:sz w:val="32"/>
          <w:szCs w:val="32"/>
          <w:lang w:val="en-US" w:eastAsia="zh-CN"/>
        </w:rPr>
      </w:pPr>
      <w:r>
        <w:rPr>
          <w:rFonts w:hint="eastAsia"/>
          <w:b w:val="0"/>
          <w:bCs w:val="0"/>
          <w:sz w:val="32"/>
          <w:szCs w:val="32"/>
          <w:lang w:val="en-US" w:eastAsia="zh-CN"/>
        </w:rPr>
        <w:t xml:space="preserve">                             2023年</w:t>
      </w:r>
    </w:p>
    <w:p>
      <w:pPr>
        <w:pStyle w:val="2"/>
        <w:rPr>
          <w:rFonts w:hint="default"/>
          <w:lang w:val="en-US" w:eastAsia="zh-CN"/>
        </w:rPr>
      </w:pPr>
    </w:p>
    <w:p/>
    <w:sectPr>
      <w:footerReference r:id="rId3" w:type="default"/>
      <w:footerReference r:id="rId4" w:type="even"/>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0"/>
        <w:rFonts w:ascii="宋体" w:hAnsi="宋体" w:eastAsia="宋体"/>
        <w:sz w:val="28"/>
      </w:rPr>
    </w:pPr>
    <w:r>
      <w:rPr>
        <w:rStyle w:val="10"/>
        <w:rFonts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11</w:t>
    </w:r>
    <w:r>
      <w:rPr>
        <w:rFonts w:ascii="宋体" w:hAnsi="宋体" w:eastAsia="宋体"/>
        <w:sz w:val="28"/>
      </w:rPr>
      <w:fldChar w:fldCharType="end"/>
    </w:r>
    <w:r>
      <w:rPr>
        <w:rStyle w:val="10"/>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0"/>
        <w:rFonts w:ascii="宋体" w:hAnsi="宋体" w:eastAsia="宋体"/>
        <w:sz w:val="28"/>
      </w:rPr>
    </w:pPr>
    <w:r>
      <w:rPr>
        <w:rStyle w:val="10"/>
        <w:rFonts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12</w:t>
    </w:r>
    <w:r>
      <w:rPr>
        <w:rFonts w:ascii="宋体" w:hAnsi="宋体" w:eastAsia="宋体"/>
        <w:sz w:val="28"/>
      </w:rPr>
      <w:fldChar w:fldCharType="end"/>
    </w:r>
    <w:r>
      <w:rPr>
        <w:rStyle w:val="10"/>
        <w:rFonts w:ascii="宋体" w:hAnsi="宋体" w:eastAsia="宋体"/>
        <w:sz w:val="28"/>
      </w:rPr>
      <w:t>—</w:t>
    </w:r>
  </w:p>
  <w:p>
    <w:pPr>
      <w:pStyle w:val="6"/>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90F96"/>
    <w:multiLevelType w:val="singleLevel"/>
    <w:tmpl w:val="C8D90F96"/>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s>
  <w:rsids>
    <w:rsidRoot w:val="00172A27"/>
    <w:rsid w:val="16854416"/>
    <w:rsid w:val="1A38558B"/>
    <w:rsid w:val="1B4DC6CB"/>
    <w:rsid w:val="26BF4EE0"/>
    <w:rsid w:val="2DF93507"/>
    <w:rsid w:val="2EEEDAE1"/>
    <w:rsid w:val="3DE7E003"/>
    <w:rsid w:val="45E66725"/>
    <w:rsid w:val="4D8602D3"/>
    <w:rsid w:val="511F3696"/>
    <w:rsid w:val="560E420E"/>
    <w:rsid w:val="613E4268"/>
    <w:rsid w:val="6AFB357B"/>
    <w:rsid w:val="6C8F1413"/>
    <w:rsid w:val="6FDD1859"/>
    <w:rsid w:val="6FFDF178"/>
    <w:rsid w:val="73CFA440"/>
    <w:rsid w:val="79B7BBF1"/>
    <w:rsid w:val="7BB650EE"/>
    <w:rsid w:val="7F7F7327"/>
    <w:rsid w:val="7FD2D3B2"/>
    <w:rsid w:val="9A15756D"/>
    <w:rsid w:val="D3ADDDEF"/>
    <w:rsid w:val="E1FD5393"/>
    <w:rsid w:val="E7DA5BB0"/>
    <w:rsid w:val="ECF3CD6C"/>
    <w:rsid w:val="F5DBA056"/>
    <w:rsid w:val="FBFDD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napToGrid w:val="0"/>
      <w:spacing w:line="300" w:lineRule="auto"/>
      <w:ind w:firstLine="556"/>
    </w:pPr>
    <w:rPr>
      <w:szCs w:val="20"/>
    </w:rPr>
  </w:style>
  <w:style w:type="paragraph" w:styleId="4">
    <w:name w:val="Body Text Indent"/>
    <w:basedOn w:val="1"/>
    <w:link w:val="12"/>
    <w:qFormat/>
    <w:uiPriority w:val="0"/>
    <w:pPr>
      <w:ind w:firstLine="632" w:firstLineChars="200"/>
    </w:pPr>
    <w:rPr>
      <w:rFonts w:eastAsia="仿宋_GB2312" w:cs="Times New Roman"/>
      <w:sz w:val="20"/>
      <w:szCs w:val="20"/>
    </w:rPr>
  </w:style>
  <w:style w:type="paragraph" w:styleId="5">
    <w:name w:val="Date"/>
    <w:basedOn w:val="1"/>
    <w:next w:val="1"/>
    <w:link w:val="14"/>
    <w:qFormat/>
    <w:uiPriority w:val="0"/>
    <w:pPr>
      <w:ind w:left="100" w:leftChars="2500"/>
    </w:pPr>
    <w:rPr>
      <w:rFonts w:eastAsia="仿宋_GB2312" w:cs="Times New Roman"/>
      <w:sz w:val="20"/>
      <w:szCs w:val="20"/>
    </w:rPr>
  </w:style>
  <w:style w:type="paragraph" w:styleId="6">
    <w:name w:val="footer"/>
    <w:basedOn w:val="1"/>
    <w:link w:val="15"/>
    <w:qFormat/>
    <w:uiPriority w:val="0"/>
    <w:pPr>
      <w:tabs>
        <w:tab w:val="center" w:pos="4153"/>
        <w:tab w:val="right" w:pos="8306"/>
      </w:tabs>
      <w:snapToGrid w:val="0"/>
      <w:jc w:val="left"/>
    </w:pPr>
    <w:rPr>
      <w:rFonts w:eastAsia="仿宋_GB2312" w:cs="Times New Roman"/>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eastAsia="仿宋_GB2312" w:cs="Times New Roman"/>
      <w:sz w:val="18"/>
      <w:szCs w:val="18"/>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rFonts w:ascii="Times New Roman" w:hAnsi="Times New Roman" w:eastAsia="宋体" w:cs="Times New Roman"/>
      <w:color w:val="0000FF"/>
      <w:u w:val="single"/>
    </w:rPr>
  </w:style>
  <w:style w:type="character" w:customStyle="1" w:styleId="12">
    <w:name w:val="正文文本缩进 Char"/>
    <w:basedOn w:val="9"/>
    <w:link w:val="4"/>
    <w:qFormat/>
    <w:uiPriority w:val="0"/>
    <w:rPr>
      <w:rFonts w:ascii="Times New Roman" w:hAnsi="Times New Roman" w:eastAsia="仿宋_GB2312" w:cs="Times New Roman"/>
      <w:sz w:val="20"/>
      <w:szCs w:val="20"/>
    </w:rPr>
  </w:style>
  <w:style w:type="character" w:customStyle="1" w:styleId="13">
    <w:name w:val="页眉 Char"/>
    <w:basedOn w:val="9"/>
    <w:link w:val="7"/>
    <w:qFormat/>
    <w:uiPriority w:val="0"/>
    <w:rPr>
      <w:rFonts w:ascii="Times New Roman" w:hAnsi="Times New Roman" w:eastAsia="仿宋_GB2312" w:cs="Times New Roman"/>
      <w:sz w:val="18"/>
      <w:szCs w:val="18"/>
    </w:rPr>
  </w:style>
  <w:style w:type="character" w:customStyle="1" w:styleId="14">
    <w:name w:val="日期 Char"/>
    <w:basedOn w:val="9"/>
    <w:link w:val="5"/>
    <w:qFormat/>
    <w:uiPriority w:val="0"/>
    <w:rPr>
      <w:rFonts w:ascii="Times New Roman" w:hAnsi="Times New Roman" w:eastAsia="仿宋_GB2312" w:cs="Times New Roman"/>
      <w:sz w:val="20"/>
      <w:szCs w:val="20"/>
    </w:rPr>
  </w:style>
  <w:style w:type="character" w:customStyle="1" w:styleId="15">
    <w:name w:val="页脚 Char"/>
    <w:basedOn w:val="9"/>
    <w:link w:val="6"/>
    <w:qFormat/>
    <w:uiPriority w:val="0"/>
    <w:rPr>
      <w:rFonts w:ascii="Times New Roman" w:hAnsi="Times New Roman" w:eastAsia="仿宋_GB2312" w:cs="Times New Roman"/>
      <w:sz w:val="18"/>
      <w:szCs w:val="18"/>
    </w:rPr>
  </w:style>
  <w:style w:type="paragraph" w:customStyle="1" w:styleId="16">
    <w:name w:val="Char Char Char Char Char Char"/>
    <w:basedOn w:val="1"/>
    <w:qFormat/>
    <w:uiPriority w:val="0"/>
    <w:pPr>
      <w:adjustRightInd w:val="0"/>
    </w:pPr>
    <w:rPr>
      <w:rFonts w:ascii="Tahoma" w:hAnsi="Tahoma" w:eastAsia="宋体"/>
      <w:sz w:val="24"/>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Normal Indent"/>
    <w:basedOn w:val="1"/>
    <w:qFormat/>
    <w:uiPriority w:val="0"/>
    <w:pPr>
      <w:snapToGrid w:val="0"/>
      <w:spacing w:line="300" w:lineRule="auto"/>
      <w:ind w:firstLine="556"/>
    </w:pPr>
    <w:rPr>
      <w:rFonts w:ascii="仿宋_GB2312" w:hAnsi="Calibri" w:eastAsia="仿宋_GB2312" w:cs="Times New Roman"/>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2023-04-06T02:43:00Z</dcterms:created>
  <dc:creator>喀叽喀叽～芥子</dc:creator>
  <cp:lastModifiedBy>kmcg</cp:lastModifiedBy>
  <dcterms:modified xsi:type="dcterms:W3CDTF">2023-09-27T14:27:10Z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1E32DED5A73B4DC0A8936EB0206FE3F2_11</vt:lpwstr>
  </property>
</Properties>
</file>