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Cs w:val="32"/>
        </w:rPr>
      </w:pPr>
      <w:r>
        <w:rPr>
          <w:rFonts w:hint="default" w:ascii="Times New Roman" w:hAnsi="Times New Roman" w:eastAsia="黑体" w:cs="Times New Roman"/>
          <w:szCs w:val="32"/>
        </w:rPr>
        <w:t>附件</w:t>
      </w:r>
      <w:r>
        <w:rPr>
          <w:rFonts w:hint="default" w:ascii="Times New Roman" w:hAnsi="Times New Roman" w:eastAsia="黑体" w:cs="Times New Roman"/>
          <w:szCs w:val="32"/>
          <w:lang w:val="en-US" w:eastAsia="zh-CN"/>
        </w:rPr>
        <w:t>4-2</w:t>
      </w:r>
      <w:r>
        <w:rPr>
          <w:rFonts w:hint="default" w:ascii="Times New Roman" w:hAnsi="Times New Roman" w:eastAsia="黑体" w:cs="Times New Roman"/>
          <w:szCs w:val="32"/>
        </w:rPr>
        <w:t>:</w:t>
      </w:r>
    </w:p>
    <w:p>
      <w:pPr>
        <w:rPr>
          <w:rFonts w:hint="default" w:ascii="Times New Roman" w:hAnsi="Times New Roman" w:eastAsia="黑体" w:cs="Times New Roman"/>
          <w:szCs w:val="32"/>
        </w:rPr>
      </w:pPr>
    </w:p>
    <w:p>
      <w:pPr>
        <w:spacing w:line="60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项目支出绩效报告</w:t>
      </w:r>
      <w:r>
        <w:rPr>
          <w:rFonts w:hint="default" w:ascii="Times New Roman" w:hAnsi="Times New Roman" w:eastAsia="方正小标宋_GBK" w:cs="Times New Roman"/>
          <w:sz w:val="36"/>
          <w:szCs w:val="36"/>
          <w:lang w:eastAsia="zh-CN"/>
        </w:rPr>
        <w:t>（自评）</w:t>
      </w:r>
    </w:p>
    <w:p>
      <w:pPr>
        <w:spacing w:line="600" w:lineRule="exact"/>
        <w:ind w:firstLine="594" w:firstLineChars="200"/>
        <w:rPr>
          <w:rFonts w:hint="default" w:ascii="Times New Roman" w:hAnsi="Times New Roman" w:cs="Times New Roman"/>
          <w:b/>
          <w:szCs w:val="32"/>
        </w:rPr>
      </w:pP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keepNext w:val="0"/>
        <w:keepLines w:val="0"/>
        <w:pageBreakBefore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eastAsia="楷体" w:cs="Times New Roman"/>
          <w:szCs w:val="32"/>
        </w:rPr>
      </w:pPr>
      <w:r>
        <w:rPr>
          <w:rFonts w:hint="default" w:ascii="Times New Roman" w:hAnsi="Times New Roman" w:eastAsia="楷体" w:cs="Times New Roman"/>
          <w:szCs w:val="32"/>
        </w:rPr>
        <w:t>（一）项目概况。</w:t>
      </w:r>
    </w:p>
    <w:p>
      <w:pPr>
        <w:keepNext w:val="0"/>
        <w:keepLines w:val="0"/>
        <w:pageBreakBefore w:val="0"/>
        <w:widowControl/>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eastAsia="zh-CN"/>
        </w:rPr>
        <w:t>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rPr>
        <w:t>年，为保障完成特定的行政工作任务或事业发展目标，用于专项业务工作的经费支出</w:t>
      </w:r>
      <w:r>
        <w:rPr>
          <w:rFonts w:hint="default" w:ascii="Times New Roman" w:hAnsi="Times New Roman" w:cs="Times New Roman"/>
          <w:sz w:val="32"/>
          <w:szCs w:val="32"/>
          <w:lang w:val="en-US" w:eastAsia="zh-CN"/>
        </w:rPr>
        <w:t>52248.34元</w:t>
      </w:r>
      <w:r>
        <w:rPr>
          <w:rFonts w:hint="default" w:ascii="Times New Roman" w:hAnsi="Times New Roman" w:eastAsia="仿宋_GB2312" w:cs="Times New Roman"/>
          <w:sz w:val="32"/>
          <w:szCs w:val="32"/>
        </w:rPr>
        <w:t>。具体项目开支情况如下：</w:t>
      </w:r>
    </w:p>
    <w:p>
      <w:pPr>
        <w:keepNext w:val="0"/>
        <w:keepLines w:val="0"/>
        <w:pageBreakBefore w:val="0"/>
        <w:kinsoku/>
        <w:wordWrap/>
        <w:overflowPunct/>
        <w:autoSpaceDE/>
        <w:autoSpaceDN/>
        <w:bidi w:val="0"/>
        <w:adjustRightInd/>
        <w:snapToGrid/>
        <w:spacing w:line="560" w:lineRule="exact"/>
        <w:ind w:firstLine="5940" w:firstLineChars="20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单位：元</w:t>
      </w:r>
    </w:p>
    <w:tbl>
      <w:tblPr>
        <w:tblStyle w:val="5"/>
        <w:tblW w:w="8497" w:type="dxa"/>
        <w:tblInd w:w="93" w:type="dxa"/>
        <w:tblLayout w:type="fixed"/>
        <w:tblCellMar>
          <w:top w:w="0" w:type="dxa"/>
          <w:left w:w="108" w:type="dxa"/>
          <w:bottom w:w="0" w:type="dxa"/>
          <w:right w:w="108" w:type="dxa"/>
        </w:tblCellMar>
      </w:tblPr>
      <w:tblGrid>
        <w:gridCol w:w="536"/>
        <w:gridCol w:w="5629"/>
        <w:gridCol w:w="2332"/>
      </w:tblGrid>
      <w:tr>
        <w:tblPrEx>
          <w:tblCellMar>
            <w:top w:w="0" w:type="dxa"/>
            <w:left w:w="108" w:type="dxa"/>
            <w:bottom w:w="0" w:type="dxa"/>
            <w:right w:w="108" w:type="dxa"/>
          </w:tblCellMar>
        </w:tblPrEx>
        <w:trPr>
          <w:trHeight w:val="308" w:hRule="atLeast"/>
        </w:trPr>
        <w:tc>
          <w:tcPr>
            <w:tcW w:w="53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560" w:lineRule="exact"/>
              <w:ind w:firstLine="594" w:firstLineChars="20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eastAsia="zh-CN"/>
              </w:rPr>
              <w:t>序</w:t>
            </w:r>
            <w:r>
              <w:rPr>
                <w:rFonts w:hint="default" w:ascii="Times New Roman" w:hAnsi="Times New Roman" w:cs="Times New Roman"/>
                <w:color w:val="000000"/>
                <w:kern w:val="0"/>
                <w:sz w:val="32"/>
                <w:szCs w:val="32"/>
                <w:lang w:eastAsia="zh-CN"/>
              </w:rPr>
              <w:t>序</w:t>
            </w:r>
            <w:r>
              <w:rPr>
                <w:rFonts w:hint="default" w:ascii="Times New Roman" w:hAnsi="Times New Roman" w:eastAsia="仿宋_GB2312" w:cs="Times New Roman"/>
                <w:color w:val="000000"/>
                <w:kern w:val="0"/>
                <w:sz w:val="32"/>
                <w:szCs w:val="32"/>
              </w:rPr>
              <w:t>号</w:t>
            </w:r>
          </w:p>
        </w:tc>
        <w:tc>
          <w:tcPr>
            <w:tcW w:w="5629"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560" w:lineRule="exact"/>
              <w:ind w:firstLine="594" w:firstLineChars="20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项目名称</w:t>
            </w:r>
          </w:p>
        </w:tc>
        <w:tc>
          <w:tcPr>
            <w:tcW w:w="2332"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560" w:lineRule="exact"/>
              <w:ind w:firstLine="594" w:firstLineChars="20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金额(元)</w:t>
            </w:r>
          </w:p>
        </w:tc>
      </w:tr>
      <w:tr>
        <w:tblPrEx>
          <w:tblCellMar>
            <w:top w:w="0" w:type="dxa"/>
            <w:left w:w="108" w:type="dxa"/>
            <w:bottom w:w="0" w:type="dxa"/>
            <w:right w:w="108" w:type="dxa"/>
          </w:tblCellMar>
        </w:tblPrEx>
        <w:trPr>
          <w:trHeight w:val="1088" w:hRule="atLeast"/>
        </w:trPr>
        <w:tc>
          <w:tcPr>
            <w:tcW w:w="53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560" w:lineRule="exact"/>
              <w:ind w:firstLine="594" w:firstLineChars="200"/>
              <w:jc w:val="center"/>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1</w:t>
            </w:r>
            <w:r>
              <w:rPr>
                <w:rFonts w:hint="default" w:ascii="Times New Roman" w:hAnsi="Times New Roman" w:eastAsia="仿宋_GB2312" w:cs="Times New Roman"/>
                <w:sz w:val="32"/>
                <w:szCs w:val="32"/>
              </w:rPr>
              <w:t>1</w:t>
            </w:r>
          </w:p>
        </w:tc>
        <w:tc>
          <w:tcPr>
            <w:tcW w:w="5629"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560" w:lineRule="exact"/>
              <w:ind w:firstLine="594"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改革专项经费</w:t>
            </w:r>
          </w:p>
        </w:tc>
        <w:tc>
          <w:tcPr>
            <w:tcW w:w="2332"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560" w:lineRule="exact"/>
              <w:ind w:firstLine="594" w:firstLineChars="2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2248.34</w:t>
            </w:r>
          </w:p>
        </w:tc>
      </w:tr>
      <w:tr>
        <w:tblPrEx>
          <w:tblCellMar>
            <w:top w:w="0" w:type="dxa"/>
            <w:left w:w="108" w:type="dxa"/>
            <w:bottom w:w="0" w:type="dxa"/>
            <w:right w:w="108" w:type="dxa"/>
          </w:tblCellMar>
        </w:tblPrEx>
        <w:trPr>
          <w:trHeight w:val="1660" w:hRule="atLeast"/>
        </w:trPr>
        <w:tc>
          <w:tcPr>
            <w:tcW w:w="53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560" w:lineRule="exact"/>
              <w:ind w:firstLine="594" w:firstLineChars="200"/>
              <w:jc w:val="center"/>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rPr>
              <w:t>2</w:t>
            </w:r>
          </w:p>
        </w:tc>
        <w:tc>
          <w:tcPr>
            <w:tcW w:w="5629"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560" w:lineRule="exact"/>
              <w:ind w:firstLine="594"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呈贡区建设区域性国际中心城市现代化科教创新新城行动计划（2019—2035）（修订）专项经费</w:t>
            </w:r>
          </w:p>
        </w:tc>
        <w:tc>
          <w:tcPr>
            <w:tcW w:w="2332"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560" w:lineRule="exact"/>
              <w:ind w:firstLine="594" w:firstLineChars="2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50000</w:t>
            </w:r>
          </w:p>
        </w:tc>
      </w:tr>
      <w:tr>
        <w:tblPrEx>
          <w:tblCellMar>
            <w:top w:w="0" w:type="dxa"/>
            <w:left w:w="108" w:type="dxa"/>
            <w:bottom w:w="0" w:type="dxa"/>
            <w:right w:w="108" w:type="dxa"/>
          </w:tblCellMar>
        </w:tblPrEx>
        <w:trPr>
          <w:trHeight w:val="308" w:hRule="atLeast"/>
        </w:trPr>
        <w:tc>
          <w:tcPr>
            <w:tcW w:w="6165"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560" w:lineRule="exact"/>
              <w:ind w:firstLine="594"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合计</w:t>
            </w:r>
          </w:p>
        </w:tc>
        <w:tc>
          <w:tcPr>
            <w:tcW w:w="2332"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560" w:lineRule="exact"/>
              <w:ind w:firstLine="594" w:firstLineChars="2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52248.34</w:t>
            </w:r>
          </w:p>
        </w:tc>
      </w:tr>
    </w:tbl>
    <w:p>
      <w:pPr>
        <w:keepNext w:val="0"/>
        <w:keepLines w:val="0"/>
        <w:pageBreakBefore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（二）项目绩效目标。</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i w:val="0"/>
          <w:color w:val="000000"/>
          <w:sz w:val="32"/>
          <w:szCs w:val="32"/>
        </w:rPr>
      </w:pPr>
      <w:r>
        <w:rPr>
          <w:rFonts w:hint="default" w:ascii="Times New Roman" w:hAnsi="Times New Roman" w:cs="Times New Roman"/>
          <w:szCs w:val="32"/>
        </w:rPr>
        <w:t>1.项目绩效总目标</w:t>
      </w:r>
      <w:r>
        <w:rPr>
          <w:rFonts w:hint="default" w:ascii="Times New Roman" w:hAnsi="Times New Roman" w:cs="Times New Roman"/>
          <w:szCs w:val="32"/>
          <w:lang w:val="en-US" w:eastAsia="zh-CN"/>
        </w:rPr>
        <w:t>:</w:t>
      </w:r>
      <w:r>
        <w:rPr>
          <w:rFonts w:hint="default" w:ascii="Times New Roman" w:hAnsi="Times New Roman" w:eastAsia="仿宋_GB2312" w:cs="Times New Roman"/>
          <w:i w:val="0"/>
          <w:color w:val="000000"/>
          <w:sz w:val="32"/>
          <w:szCs w:val="32"/>
        </w:rPr>
        <w:t xml:space="preserve"> 我单位的所有项目都紧紧围绕增强服从服务于新区建设发展的意识和能力，结合部门职能职责， 加强调查研究，积极参与、配合区委办做好相关政策、文件的起草工作，积极发挥以文辅政的作用。在抓好政研室工作的同时，组织</w:t>
      </w:r>
      <w:r>
        <w:rPr>
          <w:rFonts w:hint="default" w:ascii="Times New Roman" w:hAnsi="Times New Roman" w:cs="Times New Roman"/>
          <w:i w:val="0"/>
          <w:color w:val="000000"/>
          <w:sz w:val="32"/>
          <w:szCs w:val="32"/>
          <w:lang w:eastAsia="zh-CN"/>
        </w:rPr>
        <w:t>、</w:t>
      </w:r>
      <w:r>
        <w:rPr>
          <w:rFonts w:hint="default" w:ascii="Times New Roman" w:hAnsi="Times New Roman" w:eastAsia="仿宋_GB2312" w:cs="Times New Roman"/>
          <w:i w:val="0"/>
          <w:color w:val="000000"/>
          <w:sz w:val="32"/>
          <w:szCs w:val="32"/>
        </w:rPr>
        <w:t>协调做好</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呈贡区建设区域性国际中心城市现代化科教创新新城行动计划（2019—2035）（修订）</w:t>
      </w:r>
      <w:r>
        <w:rPr>
          <w:rFonts w:hint="default" w:ascii="Times New Roman" w:hAnsi="Times New Roman" w:cs="Times New Roman"/>
          <w:sz w:val="32"/>
          <w:szCs w:val="32"/>
          <w:lang w:eastAsia="zh-CN"/>
        </w:rPr>
        <w:t>》</w:t>
      </w:r>
      <w:r>
        <w:rPr>
          <w:rFonts w:hint="default" w:ascii="Times New Roman" w:hAnsi="Times New Roman" w:eastAsia="仿宋_GB2312" w:cs="Times New Roman"/>
          <w:i w:val="0"/>
          <w:color w:val="000000"/>
          <w:sz w:val="32"/>
          <w:szCs w:val="32"/>
        </w:rPr>
        <w:t>等工作。</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i w:val="0"/>
          <w:color w:val="000000"/>
          <w:sz w:val="32"/>
          <w:szCs w:val="32"/>
        </w:rPr>
      </w:pPr>
      <w:r>
        <w:rPr>
          <w:rFonts w:hint="default" w:ascii="Times New Roman" w:hAnsi="Times New Roman" w:eastAsia="TimesNewRomanPSMT" w:cs="Times New Roman"/>
          <w:i w:val="0"/>
          <w:color w:val="000000"/>
          <w:sz w:val="32"/>
          <w:szCs w:val="32"/>
        </w:rPr>
        <w:t>2.</w:t>
      </w:r>
      <w:r>
        <w:rPr>
          <w:rFonts w:hint="default" w:ascii="Times New Roman" w:hAnsi="Times New Roman" w:eastAsia="仿宋_GB2312" w:cs="Times New Roman"/>
          <w:i w:val="0"/>
          <w:color w:val="000000"/>
          <w:sz w:val="32"/>
          <w:szCs w:val="32"/>
        </w:rPr>
        <w:t>项目绩效阶段性目标</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i w:val="0"/>
          <w:color w:val="0000FF"/>
          <w:sz w:val="32"/>
          <w:szCs w:val="32"/>
          <w:highlight w:val="none"/>
        </w:rPr>
      </w:pPr>
      <w:r>
        <w:rPr>
          <w:rFonts w:hint="default" w:ascii="Times New Roman" w:hAnsi="Times New Roman" w:eastAsia="仿宋_GB2312" w:cs="Times New Roman"/>
          <w:i w:val="0"/>
          <w:color w:val="auto"/>
          <w:sz w:val="32"/>
          <w:szCs w:val="32"/>
          <w:highlight w:val="none"/>
        </w:rPr>
        <w:t>《</w:t>
      </w:r>
      <w:r>
        <w:rPr>
          <w:rFonts w:hint="default" w:ascii="Times New Roman" w:hAnsi="Times New Roman" w:eastAsia="仿宋_GB2312" w:cs="Times New Roman"/>
          <w:color w:val="auto"/>
          <w:sz w:val="32"/>
          <w:szCs w:val="32"/>
          <w:highlight w:val="none"/>
        </w:rPr>
        <w:t>呈贡区建设区域性国际中心城市现代化科教创新新城行动计划（2019—2035）（修订）</w:t>
      </w:r>
      <w:r>
        <w:rPr>
          <w:rFonts w:hint="default" w:ascii="Times New Roman" w:hAnsi="Times New Roman" w:eastAsia="仿宋_GB2312" w:cs="Times New Roman"/>
          <w:i w:val="0"/>
          <w:color w:val="auto"/>
          <w:sz w:val="32"/>
          <w:szCs w:val="32"/>
          <w:highlight w:val="none"/>
        </w:rPr>
        <w:t>》到位资金</w:t>
      </w:r>
      <w:r>
        <w:rPr>
          <w:rFonts w:hint="default" w:ascii="Times New Roman" w:hAnsi="Times New Roman" w:cs="Times New Roman"/>
          <w:i w:val="0"/>
          <w:color w:val="auto"/>
          <w:sz w:val="32"/>
          <w:szCs w:val="32"/>
          <w:highlight w:val="none"/>
          <w:lang w:val="en-US" w:eastAsia="zh-CN"/>
        </w:rPr>
        <w:t>50000</w:t>
      </w:r>
      <w:r>
        <w:rPr>
          <w:rFonts w:hint="default" w:ascii="Times New Roman" w:hAnsi="Times New Roman" w:eastAsia="仿宋_GB2312" w:cs="Times New Roman"/>
          <w:i w:val="0"/>
          <w:color w:val="auto"/>
          <w:sz w:val="32"/>
          <w:szCs w:val="32"/>
          <w:highlight w:val="none"/>
        </w:rPr>
        <w:t>元，实际支出</w:t>
      </w:r>
      <w:r>
        <w:rPr>
          <w:rFonts w:hint="default" w:ascii="Times New Roman" w:hAnsi="Times New Roman" w:eastAsia="宋体" w:cs="Times New Roman"/>
          <w:i w:val="0"/>
          <w:color w:val="auto"/>
          <w:sz w:val="32"/>
          <w:szCs w:val="32"/>
          <w:highlight w:val="none"/>
          <w:lang w:val="en-US" w:eastAsia="zh-CN"/>
        </w:rPr>
        <w:t>50000</w:t>
      </w:r>
      <w:r>
        <w:rPr>
          <w:rFonts w:hint="default" w:ascii="Times New Roman" w:hAnsi="Times New Roman" w:eastAsia="仿宋_GB2312" w:cs="Times New Roman"/>
          <w:i w:val="0"/>
          <w:color w:val="auto"/>
          <w:sz w:val="32"/>
          <w:szCs w:val="32"/>
          <w:highlight w:val="none"/>
        </w:rPr>
        <w:t>元。</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二、</w:t>
      </w:r>
      <w:r>
        <w:rPr>
          <w:rFonts w:hint="default" w:ascii="Times New Roman" w:hAnsi="Times New Roman" w:eastAsia="黑体" w:cs="Times New Roman"/>
          <w:szCs w:val="32"/>
          <w:lang w:eastAsia="zh-CN"/>
        </w:rPr>
        <w:t>项目资金使用及管理情况</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i w:val="0"/>
          <w:color w:val="0000FF"/>
          <w:sz w:val="32"/>
          <w:szCs w:val="32"/>
          <w:highlight w:val="none"/>
        </w:rPr>
      </w:pPr>
      <w:r>
        <w:rPr>
          <w:rFonts w:hint="default" w:ascii="Times New Roman" w:hAnsi="Times New Roman" w:eastAsia="仿宋_GB2312" w:cs="Times New Roman"/>
          <w:i w:val="0"/>
          <w:color w:val="auto"/>
          <w:sz w:val="32"/>
          <w:szCs w:val="32"/>
          <w:highlight w:val="none"/>
        </w:rPr>
        <w:t>《</w:t>
      </w:r>
      <w:r>
        <w:rPr>
          <w:rFonts w:hint="default" w:ascii="Times New Roman" w:hAnsi="Times New Roman" w:eastAsia="仿宋_GB2312" w:cs="Times New Roman"/>
          <w:color w:val="auto"/>
          <w:sz w:val="32"/>
          <w:szCs w:val="32"/>
          <w:highlight w:val="none"/>
        </w:rPr>
        <w:t>呈贡区建设区域性国际中心城市现代化科教创新新城行动计划（2019—2035）（修订）</w:t>
      </w:r>
      <w:r>
        <w:rPr>
          <w:rFonts w:hint="default" w:ascii="Times New Roman" w:hAnsi="Times New Roman" w:eastAsia="仿宋_GB2312" w:cs="Times New Roman"/>
          <w:i w:val="0"/>
          <w:color w:val="auto"/>
          <w:sz w:val="32"/>
          <w:szCs w:val="32"/>
          <w:highlight w:val="none"/>
        </w:rPr>
        <w:t>》到位资金</w:t>
      </w:r>
      <w:r>
        <w:rPr>
          <w:rFonts w:hint="default" w:ascii="Times New Roman" w:hAnsi="Times New Roman" w:cs="Times New Roman"/>
          <w:i w:val="0"/>
          <w:color w:val="auto"/>
          <w:sz w:val="32"/>
          <w:szCs w:val="32"/>
          <w:highlight w:val="none"/>
          <w:lang w:val="en-US" w:eastAsia="zh-CN"/>
        </w:rPr>
        <w:t>50000</w:t>
      </w:r>
      <w:r>
        <w:rPr>
          <w:rFonts w:hint="default" w:ascii="Times New Roman" w:hAnsi="Times New Roman" w:eastAsia="仿宋_GB2312" w:cs="Times New Roman"/>
          <w:i w:val="0"/>
          <w:color w:val="auto"/>
          <w:sz w:val="32"/>
          <w:szCs w:val="32"/>
          <w:highlight w:val="none"/>
        </w:rPr>
        <w:t>元，实际支出</w:t>
      </w:r>
      <w:r>
        <w:rPr>
          <w:rFonts w:hint="default" w:ascii="Times New Roman" w:hAnsi="Times New Roman" w:eastAsia="宋体" w:cs="Times New Roman"/>
          <w:i w:val="0"/>
          <w:color w:val="auto"/>
          <w:sz w:val="32"/>
          <w:szCs w:val="32"/>
          <w:highlight w:val="none"/>
          <w:lang w:val="en-US" w:eastAsia="zh-CN"/>
        </w:rPr>
        <w:t>50000</w:t>
      </w:r>
      <w:r>
        <w:rPr>
          <w:rFonts w:hint="default" w:ascii="Times New Roman" w:hAnsi="Times New Roman" w:eastAsia="仿宋_GB2312" w:cs="Times New Roman"/>
          <w:i w:val="0"/>
          <w:color w:val="auto"/>
          <w:sz w:val="32"/>
          <w:szCs w:val="32"/>
          <w:highlight w:val="none"/>
        </w:rPr>
        <w:t>元。</w:t>
      </w:r>
    </w:p>
    <w:p>
      <w:pPr>
        <w:topLinePunct/>
        <w:ind w:firstLine="594" w:firstLineChars="200"/>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lang w:eastAsia="zh-CN"/>
        </w:rPr>
        <w:t>按照项目计划组织实施，开展前期调研、撰写调研报告等工作，共支出资金</w:t>
      </w:r>
      <w:r>
        <w:rPr>
          <w:rFonts w:hint="default" w:ascii="Times New Roman" w:hAnsi="Times New Roman" w:cs="Times New Roman"/>
          <w:szCs w:val="32"/>
          <w:lang w:val="en-US" w:eastAsia="zh-CN"/>
        </w:rPr>
        <w:t>50000元，</w:t>
      </w:r>
      <w:r>
        <w:rPr>
          <w:rFonts w:hint="default" w:ascii="Times New Roman" w:hAnsi="Times New Roman" w:cs="Times New Roman"/>
          <w:szCs w:val="32"/>
          <w:lang w:eastAsia="zh-CN"/>
        </w:rPr>
        <w:t>完成</w:t>
      </w:r>
      <w:r>
        <w:rPr>
          <w:rFonts w:hint="default" w:ascii="Times New Roman" w:hAnsi="Times New Roman" w:eastAsia="仿宋_GB2312" w:cs="Times New Roman"/>
          <w:i w:val="0"/>
          <w:color w:val="auto"/>
          <w:sz w:val="32"/>
          <w:szCs w:val="32"/>
          <w:highlight w:val="none"/>
        </w:rPr>
        <w:t>《</w:t>
      </w:r>
      <w:r>
        <w:rPr>
          <w:rFonts w:hint="default" w:ascii="Times New Roman" w:hAnsi="Times New Roman" w:eastAsia="仿宋_GB2312" w:cs="Times New Roman"/>
          <w:color w:val="auto"/>
          <w:sz w:val="32"/>
          <w:szCs w:val="32"/>
          <w:highlight w:val="none"/>
        </w:rPr>
        <w:t>呈贡区建设区域性国际中心城市现代化科教创新新城行动计划（2019—2035）（修订）</w:t>
      </w:r>
      <w:r>
        <w:rPr>
          <w:rFonts w:hint="default" w:ascii="Times New Roman" w:hAnsi="Times New Roman" w:eastAsia="仿宋_GB2312" w:cs="Times New Roman"/>
          <w:i w:val="0"/>
          <w:color w:val="auto"/>
          <w:sz w:val="32"/>
          <w:szCs w:val="32"/>
          <w:highlight w:val="none"/>
        </w:rPr>
        <w:t>》</w:t>
      </w:r>
      <w:r>
        <w:rPr>
          <w:rFonts w:hint="default" w:ascii="Times New Roman" w:hAnsi="Times New Roman" w:cs="Times New Roman"/>
          <w:i w:val="0"/>
          <w:color w:val="auto"/>
          <w:sz w:val="32"/>
          <w:szCs w:val="32"/>
          <w:highlight w:val="none"/>
          <w:lang w:eastAsia="zh-CN"/>
        </w:rPr>
        <w:t>撰写印发等工作</w:t>
      </w:r>
      <w:r>
        <w:rPr>
          <w:rFonts w:hint="default" w:ascii="Times New Roman" w:hAnsi="Times New Roman" w:eastAsia="仿宋_GB2312" w:cs="Times New Roman"/>
          <w:szCs w:val="32"/>
        </w:rPr>
        <w:t>。</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四</w:t>
      </w:r>
      <w:r>
        <w:rPr>
          <w:rFonts w:hint="default" w:ascii="Times New Roman" w:hAnsi="Times New Roman" w:eastAsia="黑体" w:cs="Times New Roman"/>
          <w:szCs w:val="32"/>
        </w:rPr>
        <w:t>、项目绩效情况</w:t>
      </w:r>
    </w:p>
    <w:p>
      <w:pPr>
        <w:keepNext w:val="0"/>
        <w:keepLines w:val="0"/>
        <w:pageBreakBefore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lang w:eastAsia="zh-CN"/>
        </w:rPr>
        <w:t>（一）</w:t>
      </w:r>
      <w:r>
        <w:rPr>
          <w:rFonts w:hint="default" w:ascii="Times New Roman" w:hAnsi="Times New Roman" w:eastAsia="楷体" w:cs="Times New Roman"/>
          <w:sz w:val="32"/>
          <w:szCs w:val="32"/>
        </w:rPr>
        <w:t>绩效评价目的。</w:t>
      </w:r>
    </w:p>
    <w:p>
      <w:pPr>
        <w:keepNext w:val="0"/>
        <w:keepLines w:val="0"/>
        <w:pageBreakBefore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本次自评的目的是了解我单位</w:t>
      </w:r>
      <w:r>
        <w:rPr>
          <w:rFonts w:hint="default" w:ascii="Times New Roman" w:hAnsi="Times New Roman" w:cs="Times New Roman"/>
          <w:sz w:val="32"/>
          <w:szCs w:val="32"/>
          <w:lang w:eastAsia="zh-CN"/>
        </w:rPr>
        <w:t>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rPr>
        <w:t>年度</w:t>
      </w:r>
      <w:r>
        <w:rPr>
          <w:rFonts w:hint="default" w:ascii="Times New Roman" w:hAnsi="Times New Roman" w:cs="Times New Roman"/>
          <w:sz w:val="32"/>
          <w:szCs w:val="32"/>
          <w:lang w:eastAsia="zh-CN"/>
        </w:rPr>
        <w:t>项目</w:t>
      </w:r>
      <w:r>
        <w:rPr>
          <w:rFonts w:hint="default" w:ascii="Times New Roman" w:hAnsi="Times New Roman" w:eastAsia="仿宋_GB2312" w:cs="Times New Roman"/>
          <w:sz w:val="32"/>
          <w:szCs w:val="32"/>
        </w:rPr>
        <w:t>资金预算支出的绩效状况，为今后</w:t>
      </w:r>
      <w:r>
        <w:rPr>
          <w:rFonts w:hint="default" w:ascii="Times New Roman" w:hAnsi="Times New Roman" w:cs="Times New Roman"/>
          <w:sz w:val="32"/>
          <w:szCs w:val="32"/>
          <w:lang w:eastAsia="zh-CN"/>
        </w:rPr>
        <w:t>项目</w:t>
      </w:r>
      <w:r>
        <w:rPr>
          <w:rFonts w:hint="default" w:ascii="Times New Roman" w:hAnsi="Times New Roman" w:eastAsia="仿宋_GB2312" w:cs="Times New Roman"/>
          <w:sz w:val="32"/>
          <w:szCs w:val="32"/>
        </w:rPr>
        <w:t>预算安排提供决策支持。进一步增强本单位支出管理的责任，优化支出结构，提升预算管理水平，保障更好地履行职责，提高公务服务质量和财政资金使用效益，促进当地经济健康发展。</w:t>
      </w:r>
    </w:p>
    <w:p>
      <w:pPr>
        <w:keepNext w:val="0"/>
        <w:keepLines w:val="0"/>
        <w:pageBreakBefore w:val="0"/>
        <w:numPr>
          <w:ilvl w:val="0"/>
          <w:numId w:val="1"/>
        </w:numPr>
        <w:kinsoku/>
        <w:wordWrap/>
        <w:overflowPunct/>
        <w:topLinePunct/>
        <w:autoSpaceDE/>
        <w:autoSpaceDN/>
        <w:bidi w:val="0"/>
        <w:adjustRightInd/>
        <w:snapToGrid/>
        <w:spacing w:line="560" w:lineRule="exact"/>
        <w:ind w:left="-2" w:leftChars="0" w:firstLine="600" w:firstLineChars="0"/>
        <w:jc w:val="both"/>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绩效评价工作过程</w:t>
      </w:r>
      <w:r>
        <w:rPr>
          <w:rFonts w:hint="default" w:ascii="Times New Roman" w:hAnsi="Times New Roman" w:eastAsia="楷体" w:cs="Times New Roman"/>
          <w:sz w:val="32"/>
          <w:szCs w:val="32"/>
          <w:lang w:eastAsia="zh-CN"/>
        </w:rPr>
        <w:t>。</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核实数据。对</w:t>
      </w:r>
      <w:r>
        <w:rPr>
          <w:rFonts w:hint="default" w:ascii="Times New Roman" w:hAnsi="Times New Roman" w:cs="Times New Roman"/>
          <w:sz w:val="32"/>
          <w:szCs w:val="32"/>
          <w:lang w:eastAsia="zh-CN"/>
        </w:rPr>
        <w:t>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rPr>
        <w:t>年度部门</w:t>
      </w:r>
      <w:r>
        <w:rPr>
          <w:rFonts w:hint="default" w:ascii="Times New Roman" w:hAnsi="Times New Roman" w:cs="Times New Roman"/>
          <w:sz w:val="32"/>
          <w:szCs w:val="32"/>
          <w:lang w:eastAsia="zh-CN"/>
        </w:rPr>
        <w:t>项目</w:t>
      </w:r>
      <w:r>
        <w:rPr>
          <w:rFonts w:hint="default" w:ascii="Times New Roman" w:hAnsi="Times New Roman" w:eastAsia="仿宋_GB2312" w:cs="Times New Roman"/>
          <w:sz w:val="32"/>
          <w:szCs w:val="32"/>
        </w:rPr>
        <w:t>支出数据的准确性、真实性进行核实，将</w:t>
      </w:r>
      <w:r>
        <w:rPr>
          <w:rFonts w:hint="default" w:ascii="Times New Roman" w:hAnsi="Times New Roman" w:cs="Times New Roman"/>
          <w:sz w:val="32"/>
          <w:szCs w:val="32"/>
          <w:lang w:eastAsia="zh-CN"/>
        </w:rPr>
        <w:t>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rPr>
        <w:t>年度和20</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lang w:val="en-US" w:eastAsia="zh-CN"/>
        </w:rPr>
        <w:t>1</w:t>
      </w:r>
      <w:r>
        <w:rPr>
          <w:rFonts w:hint="default" w:ascii="Times New Roman" w:hAnsi="Times New Roman" w:eastAsia="仿宋_GB2312" w:cs="Times New Roman"/>
          <w:sz w:val="32"/>
          <w:szCs w:val="32"/>
        </w:rPr>
        <w:t>年度</w:t>
      </w:r>
      <w:r>
        <w:rPr>
          <w:rFonts w:hint="default" w:ascii="Times New Roman" w:hAnsi="Times New Roman" w:cs="Times New Roman"/>
          <w:sz w:val="32"/>
          <w:szCs w:val="32"/>
          <w:lang w:eastAsia="zh-CN"/>
        </w:rPr>
        <w:t>项目</w:t>
      </w:r>
      <w:r>
        <w:rPr>
          <w:rFonts w:hint="default" w:ascii="Times New Roman" w:hAnsi="Times New Roman" w:eastAsia="仿宋_GB2312" w:cs="Times New Roman"/>
          <w:sz w:val="32"/>
          <w:szCs w:val="32"/>
        </w:rPr>
        <w:t>整体支出情况进行比较分析。</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查阅资料。查阅</w:t>
      </w:r>
      <w:r>
        <w:rPr>
          <w:rFonts w:hint="default" w:ascii="Times New Roman" w:hAnsi="Times New Roman" w:cs="Times New Roman"/>
          <w:sz w:val="32"/>
          <w:szCs w:val="32"/>
          <w:lang w:eastAsia="zh-CN"/>
        </w:rPr>
        <w:t>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rPr>
        <w:t>年度</w:t>
      </w:r>
      <w:r>
        <w:rPr>
          <w:rFonts w:hint="default" w:ascii="Times New Roman" w:hAnsi="Times New Roman" w:cs="Times New Roman"/>
          <w:sz w:val="32"/>
          <w:szCs w:val="32"/>
          <w:lang w:eastAsia="zh-CN"/>
        </w:rPr>
        <w:t>项目</w:t>
      </w:r>
      <w:r>
        <w:rPr>
          <w:rFonts w:hint="default" w:ascii="Times New Roman" w:hAnsi="Times New Roman" w:eastAsia="仿宋_GB2312" w:cs="Times New Roman"/>
          <w:sz w:val="32"/>
          <w:szCs w:val="32"/>
        </w:rPr>
        <w:t>预算安排、预算追加、资金管理、经费支出、资产管理等相关文件资料和财务凭证。</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归纳汇总。对收集的评价材料结合本单位情况进行综合分析、归纳汇总。</w:t>
      </w:r>
    </w:p>
    <w:p>
      <w:pPr>
        <w:pStyle w:val="8"/>
        <w:keepNext w:val="0"/>
        <w:keepLines w:val="0"/>
        <w:pageBreakBefore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4</w:t>
      </w:r>
      <w:r>
        <w:rPr>
          <w:rFonts w:hint="default" w:ascii="Times New Roman" w:hAnsi="Times New Roman" w:cs="Times New Roman"/>
          <w:kern w:val="2"/>
          <w:sz w:val="32"/>
          <w:szCs w:val="32"/>
          <w:lang w:val="en-US" w:eastAsia="zh-CN"/>
        </w:rPr>
        <w:t>.</w:t>
      </w:r>
      <w:r>
        <w:rPr>
          <w:rFonts w:hint="default" w:ascii="Times New Roman" w:hAnsi="Times New Roman" w:eastAsia="仿宋_GB2312" w:cs="Times New Roman"/>
          <w:kern w:val="2"/>
          <w:sz w:val="32"/>
          <w:szCs w:val="32"/>
        </w:rPr>
        <w:t>根据评价材料结合各项评价指标进行分析评分。</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5</w:t>
      </w:r>
      <w:r>
        <w:rPr>
          <w:rFonts w:hint="default" w:ascii="Times New Roman" w:hAnsi="Times New Roman" w:cs="Times New Roman"/>
          <w:kern w:val="2"/>
          <w:sz w:val="32"/>
          <w:szCs w:val="32"/>
          <w:lang w:val="en-US" w:eastAsia="zh-CN"/>
        </w:rPr>
        <w:t>.</w:t>
      </w:r>
      <w:r>
        <w:rPr>
          <w:rFonts w:hint="default" w:ascii="Times New Roman" w:hAnsi="Times New Roman" w:eastAsia="仿宋_GB2312" w:cs="Times New Roman"/>
          <w:kern w:val="2"/>
          <w:sz w:val="32"/>
          <w:szCs w:val="32"/>
        </w:rPr>
        <w:t>形成</w:t>
      </w:r>
      <w:r>
        <w:rPr>
          <w:rFonts w:hint="default" w:ascii="Times New Roman" w:hAnsi="Times New Roman" w:cs="Times New Roman"/>
          <w:kern w:val="2"/>
          <w:sz w:val="32"/>
          <w:szCs w:val="32"/>
          <w:lang w:eastAsia="zh-CN"/>
        </w:rPr>
        <w:t>项目</w:t>
      </w:r>
      <w:r>
        <w:rPr>
          <w:rFonts w:hint="default" w:ascii="Times New Roman" w:hAnsi="Times New Roman" w:eastAsia="仿宋_GB2312" w:cs="Times New Roman"/>
          <w:kern w:val="2"/>
          <w:sz w:val="32"/>
          <w:szCs w:val="32"/>
        </w:rPr>
        <w:t>绩效评价自评报告。</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、存在的问题</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b w:val="0"/>
          <w:bCs/>
          <w:szCs w:val="32"/>
          <w:lang w:val="en-US" w:eastAsia="zh-CN"/>
        </w:rPr>
      </w:pPr>
      <w:r>
        <w:rPr>
          <w:rFonts w:hint="default" w:ascii="Times New Roman" w:hAnsi="Times New Roman" w:cs="Times New Roman"/>
          <w:b w:val="0"/>
          <w:bCs/>
          <w:szCs w:val="32"/>
          <w:lang w:eastAsia="zh-CN"/>
        </w:rPr>
        <w:t>无</w:t>
      </w:r>
      <w:r>
        <w:rPr>
          <w:rFonts w:hint="default" w:ascii="Times New Roman" w:hAnsi="Times New Roman" w:cs="Times New Roman"/>
          <w:b w:val="0"/>
          <w:bCs/>
          <w:szCs w:val="32"/>
          <w:lang w:val="en-US" w:eastAsia="zh-CN"/>
        </w:rPr>
        <w:t>.</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、其他需要说明的问题</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default" w:ascii="Times New Roman" w:hAnsi="Times New Roman" w:cs="Times New Roman"/>
          <w:sz w:val="32"/>
        </w:rPr>
      </w:pPr>
      <w:r>
        <w:rPr>
          <w:rFonts w:hint="default" w:ascii="Times New Roman" w:hAnsi="Times New Roman" w:cs="Times New Roman"/>
          <w:sz w:val="32"/>
          <w:szCs w:val="32"/>
          <w:lang w:eastAsia="zh-CN"/>
        </w:rPr>
        <w:t>无其他需要说明的问题。</w:t>
      </w:r>
    </w:p>
    <w:p>
      <w:pPr>
        <w:pStyle w:val="3"/>
        <w:pageBreakBefore w:val="0"/>
        <w:widowControl w:val="0"/>
        <w:kinsoku/>
        <w:wordWrap/>
        <w:overflowPunct/>
        <w:topLinePunct w:val="0"/>
        <w:autoSpaceDE/>
        <w:autoSpaceDN/>
        <w:bidi w:val="0"/>
        <w:adjustRightInd/>
        <w:snapToGrid/>
        <w:spacing w:before="0" w:after="0" w:line="560" w:lineRule="exact"/>
        <w:ind w:firstLine="2376" w:firstLineChars="800"/>
        <w:textAlignment w:val="auto"/>
        <w:rPr>
          <w:rFonts w:hint="default" w:ascii="Times New Roman" w:hAnsi="Times New Roman" w:cs="Times New Roman"/>
          <w:b w:val="0"/>
          <w:bCs w:val="0"/>
          <w:sz w:val="32"/>
          <w:szCs w:val="32"/>
          <w:lang w:eastAsia="zh-CN"/>
        </w:rPr>
      </w:pPr>
    </w:p>
    <w:p>
      <w:pPr>
        <w:pStyle w:val="3"/>
        <w:pageBreakBefore w:val="0"/>
        <w:widowControl w:val="0"/>
        <w:kinsoku/>
        <w:wordWrap/>
        <w:overflowPunct/>
        <w:topLinePunct w:val="0"/>
        <w:autoSpaceDE/>
        <w:autoSpaceDN/>
        <w:bidi w:val="0"/>
        <w:adjustRightInd/>
        <w:snapToGrid/>
        <w:spacing w:before="0" w:after="0" w:line="560" w:lineRule="exact"/>
        <w:ind w:firstLine="2376" w:firstLineChars="800"/>
        <w:textAlignment w:val="auto"/>
        <w:rPr>
          <w:rFonts w:hint="default" w:ascii="Times New Roman" w:hAnsi="Times New Roman" w:cs="Times New Roman"/>
          <w:b w:val="0"/>
          <w:bCs w:val="0"/>
          <w:sz w:val="32"/>
          <w:szCs w:val="32"/>
          <w:lang w:eastAsia="zh-CN"/>
        </w:rPr>
      </w:pPr>
      <w:r>
        <w:rPr>
          <w:rFonts w:hint="default" w:ascii="Times New Roman" w:hAnsi="Times New Roman" w:cs="Times New Roman"/>
          <w:b w:val="0"/>
          <w:bCs w:val="0"/>
          <w:sz w:val="32"/>
          <w:szCs w:val="32"/>
          <w:lang w:eastAsia="zh-CN"/>
        </w:rPr>
        <w:t>中共昆明市呈贡区委员会政策研究室</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b w:val="0"/>
          <w:bCs w:val="0"/>
          <w:sz w:val="32"/>
          <w:szCs w:val="32"/>
          <w:lang w:val="en-US" w:eastAsia="zh-CN"/>
        </w:rPr>
        <w:t xml:space="preserve">                             2023年4月7日</w:t>
      </w:r>
    </w:p>
    <w:p>
      <w:pPr>
        <w:rPr>
          <w:rFonts w:hint="default" w:ascii="Times New Roman" w:hAnsi="Times New Roman" w:cs="Times New Roman"/>
        </w:rPr>
      </w:pPr>
    </w:p>
    <w:p>
      <w:pPr>
        <w:rPr>
          <w:rFonts w:hint="default" w:ascii="Times New Roman" w:hAnsi="Times New Roman" w:cs="Times New Roma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D90F96"/>
    <w:multiLevelType w:val="singleLevel"/>
    <w:tmpl w:val="C8D90F96"/>
    <w:lvl w:ilvl="0" w:tentative="0">
      <w:start w:val="2"/>
      <w:numFmt w:val="chineseCounting"/>
      <w:suff w:val="nothing"/>
      <w:lvlText w:val="（%1）"/>
      <w:lvlJc w:val="left"/>
      <w:pPr>
        <w:ind w:left="-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0BC93131"/>
    <w:rsid w:val="1FFBF24C"/>
    <w:rsid w:val="378A5996"/>
    <w:rsid w:val="5A3C6978"/>
    <w:rsid w:val="67600811"/>
    <w:rsid w:val="6DBD1909"/>
    <w:rsid w:val="7FFB8683"/>
    <w:rsid w:val="D37746FB"/>
    <w:rsid w:val="DBAA5DE2"/>
    <w:rsid w:val="DFDE1709"/>
    <w:rsid w:val="EDF62563"/>
    <w:rsid w:val="F7B59035"/>
    <w:rsid w:val="FBFEC741"/>
    <w:rsid w:val="FDFF4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3">
    <w:name w:val="heading 1"/>
    <w:basedOn w:val="1"/>
    <w:next w:val="1"/>
    <w:qFormat/>
    <w:uiPriority w:val="0"/>
    <w:pPr>
      <w:keepNext/>
      <w:keepLines/>
      <w:spacing w:before="340" w:after="330" w:line="578" w:lineRule="atLeast"/>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snapToGrid w:val="0"/>
      <w:spacing w:line="300" w:lineRule="auto"/>
      <w:ind w:firstLine="556"/>
    </w:pPr>
    <w:rPr>
      <w:szCs w:val="20"/>
    </w:rPr>
  </w:style>
  <w:style w:type="paragraph" w:styleId="4">
    <w:name w:val="footer"/>
    <w:basedOn w:val="1"/>
    <w:qFormat/>
    <w:uiPriority w:val="0"/>
    <w:pPr>
      <w:tabs>
        <w:tab w:val="center" w:pos="4153"/>
        <w:tab w:val="right" w:pos="8306"/>
      </w:tabs>
      <w:snapToGrid w:val="0"/>
      <w:jc w:val="left"/>
    </w:pPr>
    <w:rPr>
      <w:rFonts w:eastAsia="仿宋_GB2312" w:cs="Times New Roman"/>
      <w:sz w:val="18"/>
      <w:szCs w:val="18"/>
    </w:rPr>
  </w:style>
  <w:style w:type="character" w:styleId="7">
    <w:name w:val="page number"/>
    <w:basedOn w:val="6"/>
    <w:qFormat/>
    <w:uiPriority w:val="0"/>
    <w:rPr>
      <w:rFonts w:ascii="Times New Roman" w:hAnsi="Times New Roman" w:eastAsia="宋体" w:cs="Times New Roman"/>
    </w:rPr>
  </w:style>
  <w:style w:type="paragraph" w:customStyle="1" w:styleId="8">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jyjcg</dc:creator>
  <cp:lastModifiedBy>kmcg</cp:lastModifiedBy>
  <dcterms:modified xsi:type="dcterms:W3CDTF">2023-04-04T16:59:23Z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