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szCs w:val="32"/>
        </w:rPr>
      </w:pPr>
      <w:r>
        <w:rPr>
          <w:rFonts w:hint="eastAsia" w:ascii="黑体" w:eastAsia="黑体"/>
          <w:szCs w:val="32"/>
        </w:rPr>
        <w:t>附件</w:t>
      </w:r>
      <w:r>
        <w:rPr>
          <w:rFonts w:hint="eastAsia" w:ascii="黑体" w:eastAsia="黑体"/>
          <w:szCs w:val="32"/>
          <w:lang w:val="en-US" w:eastAsia="zh-CN"/>
        </w:rPr>
        <w:t>3-1</w:t>
      </w:r>
      <w:r>
        <w:rPr>
          <w:rFonts w:hint="eastAsia" w:ascii="黑体" w:eastAsia="黑体"/>
          <w:szCs w:val="32"/>
        </w:rPr>
        <w:t>：</w:t>
      </w:r>
    </w:p>
    <w:tbl>
      <w:tblPr>
        <w:tblStyle w:val="4"/>
        <w:tblW w:w="9174" w:type="dxa"/>
        <w:jc w:val="center"/>
        <w:tblLayout w:type="fixed"/>
        <w:tblCellMar>
          <w:top w:w="0" w:type="dxa"/>
          <w:left w:w="28" w:type="dxa"/>
          <w:bottom w:w="0" w:type="dxa"/>
          <w:right w:w="28" w:type="dxa"/>
        </w:tblCellMar>
      </w:tblPr>
      <w:tblGrid>
        <w:gridCol w:w="482"/>
        <w:gridCol w:w="635"/>
        <w:gridCol w:w="1085"/>
        <w:gridCol w:w="765"/>
        <w:gridCol w:w="2790"/>
        <w:gridCol w:w="3417"/>
      </w:tblGrid>
      <w:tr>
        <w:tblPrEx>
          <w:tblCellMar>
            <w:top w:w="0" w:type="dxa"/>
            <w:left w:w="28" w:type="dxa"/>
            <w:bottom w:w="0" w:type="dxa"/>
            <w:right w:w="28" w:type="dxa"/>
          </w:tblCellMar>
        </w:tblPrEx>
        <w:trPr>
          <w:tblHeader/>
          <w:jc w:val="center"/>
        </w:trPr>
        <w:tc>
          <w:tcPr>
            <w:tcW w:w="9174" w:type="dxa"/>
            <w:gridSpan w:val="6"/>
            <w:tcBorders>
              <w:bottom w:val="single" w:color="auto" w:sz="4" w:space="0"/>
            </w:tcBorders>
            <w:tcMar>
              <w:top w:w="10" w:type="dxa"/>
              <w:left w:w="10" w:type="dxa"/>
              <w:bottom w:w="0" w:type="dxa"/>
              <w:right w:w="10" w:type="dxa"/>
            </w:tcMar>
            <w:vAlign w:val="center"/>
          </w:tcPr>
          <w:p>
            <w:pPr>
              <w:spacing w:after="156" w:afterLines="50"/>
              <w:jc w:val="center"/>
              <w:rPr>
                <w:rFonts w:ascii="黑体" w:eastAsia="黑体"/>
                <w:b/>
                <w:bCs/>
                <w:sz w:val="18"/>
                <w:szCs w:val="18"/>
              </w:rPr>
            </w:pPr>
            <w:r>
              <w:rPr>
                <w:rFonts w:hint="eastAsia" w:ascii="黑体" w:eastAsia="黑体"/>
                <w:bCs/>
                <w:sz w:val="36"/>
                <w:szCs w:val="36"/>
                <w:lang w:val="en-US" w:eastAsia="zh-CN"/>
              </w:rPr>
              <w:t xml:space="preserve"> </w:t>
            </w:r>
            <w:r>
              <w:rPr>
                <w:rFonts w:hint="eastAsia" w:ascii="黑体" w:eastAsia="黑体"/>
                <w:bCs/>
                <w:sz w:val="36"/>
                <w:szCs w:val="36"/>
              </w:rPr>
              <w:t>部门整体支出绩效自评指标评分表</w:t>
            </w:r>
          </w:p>
        </w:tc>
      </w:tr>
      <w:tr>
        <w:tblPrEx>
          <w:tblCellMar>
            <w:top w:w="0" w:type="dxa"/>
            <w:left w:w="28" w:type="dxa"/>
            <w:bottom w:w="0" w:type="dxa"/>
            <w:right w:w="28" w:type="dxa"/>
          </w:tblCellMar>
        </w:tblPrEx>
        <w:trPr>
          <w:trHeight w:val="950" w:hRule="atLeast"/>
          <w:tblHeader/>
          <w:jc w:val="center"/>
        </w:trPr>
        <w:tc>
          <w:tcPr>
            <w:tcW w:w="48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一级</w:t>
            </w:r>
            <w:r>
              <w:rPr>
                <w:rFonts w:hint="eastAsia" w:ascii="仿宋_GB2312" w:hAnsi="仿宋_GB2312" w:eastAsia="仿宋_GB2312" w:cs="仿宋_GB2312"/>
                <w:b/>
                <w:bCs/>
                <w:sz w:val="21"/>
                <w:szCs w:val="21"/>
              </w:rPr>
              <w:br w:type="textWrapping"/>
            </w:r>
            <w:r>
              <w:rPr>
                <w:rFonts w:hint="eastAsia" w:ascii="仿宋_GB2312" w:hAnsi="仿宋_GB2312" w:eastAsia="仿宋_GB2312" w:cs="仿宋_GB2312"/>
                <w:b/>
                <w:bCs/>
                <w:sz w:val="21"/>
                <w:szCs w:val="21"/>
              </w:rPr>
              <w:t>指标</w:t>
            </w:r>
          </w:p>
        </w:tc>
        <w:tc>
          <w:tcPr>
            <w:tcW w:w="6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二级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三级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自评分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指标解释</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指标说明</w:t>
            </w:r>
          </w:p>
        </w:tc>
      </w:tr>
      <w:tr>
        <w:tblPrEx>
          <w:tblCellMar>
            <w:top w:w="0" w:type="dxa"/>
            <w:left w:w="28" w:type="dxa"/>
            <w:bottom w:w="0" w:type="dxa"/>
            <w:right w:w="28" w:type="dxa"/>
          </w:tblCellMar>
        </w:tblPrEx>
        <w:trPr>
          <w:trHeight w:val="1491"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   入（20分）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目标</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设定（5分）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绩效目标合理性（2分）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部门所设立的整体绩效目标依据是否充分，是否符合客观实际，用以反映和考核部门整体绩效目标与部门履职、年度工作任务的相符性情况。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①符合国家法律法规、国民经济和社会发展总体规划计1分；②符合部门“三定”方案确定的职责计0.5分；③是否符合部门制定的中长期实施规划计0.5分。</w:t>
            </w:r>
          </w:p>
        </w:tc>
      </w:tr>
      <w:tr>
        <w:tblPrEx>
          <w:tblCellMar>
            <w:top w:w="0" w:type="dxa"/>
            <w:left w:w="28" w:type="dxa"/>
            <w:bottom w:w="0" w:type="dxa"/>
            <w:right w:w="28" w:type="dxa"/>
          </w:tblCellMar>
        </w:tblPrEx>
        <w:trPr>
          <w:trHeight w:val="1674"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绩效指标明确性（3分）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部门依据整体绩效目标所设定的绩效指标是否清晰、细化、可衡量，用以反映和考核部门整体绩效目标的明细化情况。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28" w:type="dxa"/>
            <w:bottom w:w="0" w:type="dxa"/>
            <w:right w:w="28" w:type="dxa"/>
          </w:tblCellMar>
        </w:tblPrEx>
        <w:trPr>
          <w:trHeight w:val="154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配置（15分）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部门本年度实际在职人员数与编制数的比率，用以反映和考核部门对人员成本的控制程度。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28" w:type="dxa"/>
            <w:bottom w:w="0" w:type="dxa"/>
            <w:right w:w="28" w:type="dxa"/>
          </w:tblCellMar>
        </w:tblPrEx>
        <w:trPr>
          <w:trHeight w:val="1856"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部门本年度“三公经费”预算数与上年度“三公经费”预算数的变动比率，用以反映和考核部门对控制重点行政成本的努力程度。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28" w:type="dxa"/>
            <w:bottom w:w="0" w:type="dxa"/>
            <w:right w:w="28" w:type="dxa"/>
          </w:tblCellMar>
        </w:tblPrEx>
        <w:trPr>
          <w:trHeight w:val="221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部门本年度预算安排的重点项目支出与部门项目总支出的比率，用以反映和考核部门对履行主要职责或完成重点任务的保障程度。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28" w:type="dxa"/>
            <w:bottom w:w="0" w:type="dxa"/>
            <w:right w:w="28" w:type="dxa"/>
          </w:tblCellMar>
        </w:tblPrEx>
        <w:trPr>
          <w:trHeight w:val="529" w:hRule="atLeast"/>
          <w:jc w:val="center"/>
        </w:trPr>
        <w:tc>
          <w:tcPr>
            <w:tcW w:w="48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预算执行（20分）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部门本年度预算完成数与预算数的比率，用以反映和考核部门预算完成程度。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28" w:type="dxa"/>
            <w:bottom w:w="0" w:type="dxa"/>
            <w:right w:w="28" w:type="dxa"/>
          </w:tblCellMar>
        </w:tblPrEx>
        <w:trPr>
          <w:trHeight w:val="1391"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1.7</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部门本年度预算调整数与预算数的比率，用以反映和考核部门预算的调整程度。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28" w:type="dxa"/>
            <w:bottom w:w="0" w:type="dxa"/>
            <w:right w:w="28" w:type="dxa"/>
          </w:tblCellMar>
        </w:tblPrEx>
        <w:trPr>
          <w:trHeight w:val="2018"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部门实际支付进度与既定支付进度的比率，用以反映和考核部门预算执行的及时性和均衡性程度。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28" w:type="dxa"/>
            <w:bottom w:w="0" w:type="dxa"/>
            <w:right w:w="28" w:type="dxa"/>
          </w:tblCellMar>
        </w:tblPrEx>
        <w:trPr>
          <w:trHeight w:val="315" w:hRule="atLeast"/>
          <w:jc w:val="center"/>
        </w:trPr>
        <w:tc>
          <w:tcPr>
            <w:tcW w:w="482" w:type="dxa"/>
            <w:vMerge w:val="continue"/>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部门本年度结转结余总额与上年结转结余总额增减比例，用以反映和考核部门对存量资金的实际控制程度。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28" w:type="dxa"/>
            <w:bottom w:w="0" w:type="dxa"/>
            <w:right w:w="28" w:type="dxa"/>
          </w:tblCellMar>
        </w:tblPrEx>
        <w:trPr>
          <w:trHeight w:val="1229"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部门本年度实际支出的公用经费总额与预算安排的公用经费总额的比率，用以反映和考核部门对机构运转成本的实际控制程度。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公用经费控制率=（实际支出公用经费总额/预算安排公用经费总额）×100%。为100%的计2分，每超过1个百分点扣0.1分，扣完为止。</w:t>
            </w:r>
          </w:p>
        </w:tc>
      </w:tr>
      <w:tr>
        <w:tblPrEx>
          <w:tblCellMar>
            <w:top w:w="0" w:type="dxa"/>
            <w:left w:w="28" w:type="dxa"/>
            <w:bottom w:w="0" w:type="dxa"/>
            <w:right w:w="28" w:type="dxa"/>
          </w:tblCellMar>
        </w:tblPrEx>
        <w:trPr>
          <w:trHeight w:val="1090"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部门本年度“三公经费”实际支出数与预算安排数的比率，用以反映和考核部门对“三公经费”的实际控制程度。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“三公经费”控制率=（“三公经费”实际支出数/“三公经费”预算安排数）×100%。为100%的计2分，每超过1个百分点扣0.5分，扣完为止。</w:t>
            </w:r>
          </w:p>
        </w:tc>
      </w:tr>
      <w:tr>
        <w:tblPrEx>
          <w:tblCellMar>
            <w:top w:w="0" w:type="dxa"/>
            <w:left w:w="28" w:type="dxa"/>
            <w:bottom w:w="0" w:type="dxa"/>
            <w:right w:w="28" w:type="dxa"/>
          </w:tblCellMar>
        </w:tblPrEx>
        <w:trPr>
          <w:trHeight w:val="287"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政府采购执行率（4分）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部门本年度实际政府采购金额与年初政府采购预算的比率，用以反映和考核部门政府采购预算执行情况。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政府采购执行率=（实际政府采购金额/政府采购预算数）×100%，为100%的计2分，每低于1个百分点扣0.5分，扣完为止；政府采购预算：采购机关根据事业发展计划和行政任务编制的、并经过规定程序批准的年度政府采购计划。 </w:t>
            </w:r>
          </w:p>
        </w:tc>
      </w:tr>
      <w:tr>
        <w:tblPrEx>
          <w:tblCellMar>
            <w:top w:w="0" w:type="dxa"/>
            <w:left w:w="28" w:type="dxa"/>
            <w:bottom w:w="0" w:type="dxa"/>
            <w:right w:w="28" w:type="dxa"/>
          </w:tblCellMar>
        </w:tblPrEx>
        <w:trPr>
          <w:trHeight w:val="1391" w:hRule="atLeast"/>
          <w:jc w:val="center"/>
        </w:trPr>
        <w:tc>
          <w:tcPr>
            <w:tcW w:w="482"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预算</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部门为加强预算管理、规范财务行为而制定的管理制度是否健全完整，用以反映和考核部门预算管理制度对完成主要职责或促进事业发展的保障情况。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已制定或具有预算资金管理办法、内部财务管理制度、会计核算制度等管理制度计1分；相关管理制度合法、合规、完整计0.5分；相关管理制度得到有效执行计0.5分。</w:t>
            </w:r>
          </w:p>
        </w:tc>
      </w:tr>
      <w:tr>
        <w:tblPrEx>
          <w:tblCellMar>
            <w:top w:w="0" w:type="dxa"/>
            <w:left w:w="28" w:type="dxa"/>
            <w:bottom w:w="0" w:type="dxa"/>
            <w:right w:w="28" w:type="dxa"/>
          </w:tblCellMar>
        </w:tblPrEx>
        <w:trPr>
          <w:trHeight w:val="200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资金使用合规性（1分）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部门使用预算资金是否符合相关的预算财务管理制度的规定，用以反映和考核部门预算资金的规范运行情况。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28" w:type="dxa"/>
            <w:bottom w:w="0" w:type="dxa"/>
            <w:right w:w="28" w:type="dxa"/>
          </w:tblCellMar>
        </w:tblPrEx>
        <w:trPr>
          <w:trHeight w:val="139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预决算信息公开性（1分）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部门是否按照政府信息公开有关规定公开相关预决算信息，用以反映和考核部门预决算管理的公开透明情况。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①按规定内容公开预决算信息计0.5分；②按规定时限公开预决算信息计0.5分。预决算信息是指与部门预算、执行、决算、监督、绩效等管理相关的信息。</w:t>
            </w:r>
          </w:p>
        </w:tc>
      </w:tr>
      <w:tr>
        <w:tblPrEx>
          <w:tblCellMar>
            <w:top w:w="0" w:type="dxa"/>
            <w:left w:w="28" w:type="dxa"/>
            <w:bottom w:w="0" w:type="dxa"/>
            <w:right w:w="28" w:type="dxa"/>
          </w:tblCellMar>
        </w:tblPrEx>
        <w:trPr>
          <w:trHeight w:val="1395"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基础信息完善性（1分）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部门基础信息是否完善，用以反映和考核基础信息对预算管理工作的支撑情况。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①基础数据信息和会计信息资料真实计0.4分；②基础数据信息和会计信息资料完整计0.3分；③基础数据信息和会计信息资料准确计0.3分。</w:t>
            </w:r>
          </w:p>
        </w:tc>
      </w:tr>
      <w:tr>
        <w:tblPrEx>
          <w:tblCellMar>
            <w:top w:w="0" w:type="dxa"/>
            <w:left w:w="28" w:type="dxa"/>
            <w:bottom w:w="0" w:type="dxa"/>
            <w:right w:w="28" w:type="dxa"/>
          </w:tblCellMar>
        </w:tblPrEx>
        <w:trPr>
          <w:trHeight w:val="90" w:hRule="atLeast"/>
          <w:jc w:val="center"/>
        </w:trPr>
        <w:tc>
          <w:tcPr>
            <w:tcW w:w="482" w:type="dxa"/>
            <w:vMerge w:val="continue"/>
            <w:tcBorders>
              <w:left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部门为加强资产管理、规范资产管理行为而制定的管理制度是否健全完整，用以反映和考核部门资产管理制度对完成主要职责或促进社会发展的保障情况。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①制定或具有资产管理制度计1分；②相关资金管理制度合法、合规、完整计0.5分；③相关资产管理制度得到有效执行计0.5分。</w:t>
            </w:r>
          </w:p>
        </w:tc>
      </w:tr>
      <w:tr>
        <w:tblPrEx>
          <w:tblCellMar>
            <w:top w:w="0" w:type="dxa"/>
            <w:left w:w="28" w:type="dxa"/>
            <w:bottom w:w="0" w:type="dxa"/>
            <w:right w:w="28" w:type="dxa"/>
          </w:tblCellMar>
        </w:tblPrEx>
        <w:trPr>
          <w:trHeight w:val="1532" w:hRule="atLeast"/>
          <w:jc w:val="center"/>
        </w:trPr>
        <w:tc>
          <w:tcPr>
            <w:tcW w:w="482"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资产管理安全性（2分）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761"/>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部门的资产是否保存完整、使用合规、配置合理、处置规范、收入及时足额上缴，用以反映和考核部门资产安全运行情况。</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①资产保存完整计0.4分；②资产配置合理计0.4分；③资产处置规范计0.4分；④资产账务管理合规、帐实相符计0.4分；⑤资产有偿使用及处置收入及时足额上缴计0.4分。</w:t>
            </w:r>
          </w:p>
        </w:tc>
      </w:tr>
      <w:tr>
        <w:tblPrEx>
          <w:tblCellMar>
            <w:top w:w="0" w:type="dxa"/>
            <w:left w:w="28" w:type="dxa"/>
            <w:bottom w:w="0" w:type="dxa"/>
            <w:right w:w="28" w:type="dxa"/>
          </w:tblCellMar>
        </w:tblPrEx>
        <w:trPr>
          <w:trHeight w:val="1110" w:hRule="atLeast"/>
          <w:jc w:val="center"/>
        </w:trPr>
        <w:tc>
          <w:tcPr>
            <w:tcW w:w="482"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部门实际在用固定资产总额与所有固定资产总额的比率，用以反映和考核部门固定资产使用效率程度。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固定资产利用率=（实际在用固定资产总额/所有固定资产总额）×100%。利用率为100%的计1分，每降1个百分点扣0.1分，扣完为止。</w:t>
            </w:r>
          </w:p>
        </w:tc>
      </w:tr>
      <w:tr>
        <w:tblPrEx>
          <w:tblCellMar>
            <w:top w:w="0" w:type="dxa"/>
            <w:left w:w="28" w:type="dxa"/>
            <w:bottom w:w="0" w:type="dxa"/>
            <w:right w:w="28" w:type="dxa"/>
          </w:tblCellMar>
        </w:tblPrEx>
        <w:trPr>
          <w:trHeight w:val="83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   出（30分）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职责</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履行</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部门履行职责而实际完成工作数与计划工作数的比率，用以反映和考核部门履职工作任务目标的实现程度。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实际完成率得分=完成市委市政府绩效考核得分或上级主管部门考核指标得分/指标分值*8分</w:t>
            </w:r>
          </w:p>
        </w:tc>
      </w:tr>
      <w:tr>
        <w:tblPrEx>
          <w:tblCellMar>
            <w:top w:w="0" w:type="dxa"/>
            <w:left w:w="28" w:type="dxa"/>
            <w:bottom w:w="0" w:type="dxa"/>
            <w:right w:w="28" w:type="dxa"/>
          </w:tblCellMar>
        </w:tblPrEx>
        <w:trPr>
          <w:trHeight w:val="109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部门在规定时限内及时完成的实际工作数与计划工作数的比率,用以反映和考核部门履职时效目标的实现程度。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完成及时率=（及时完成实际工作数/计划工作数）×100%。1-4季度各得1分</w:t>
            </w:r>
            <w:r>
              <w:rPr>
                <w:rFonts w:hint="eastAsia" w:ascii="仿宋_GB2312" w:hAnsi="仿宋_GB2312" w:eastAsia="仿宋_GB2312" w:cs="仿宋_GB2312"/>
                <w:sz w:val="21"/>
                <w:szCs w:val="21"/>
              </w:rPr>
              <w:br w:type="textWrapping"/>
            </w:r>
          </w:p>
        </w:tc>
      </w:tr>
      <w:tr>
        <w:tblPrEx>
          <w:tblCellMar>
            <w:top w:w="0" w:type="dxa"/>
            <w:left w:w="28" w:type="dxa"/>
            <w:bottom w:w="0" w:type="dxa"/>
            <w:right w:w="28" w:type="dxa"/>
          </w:tblCellMar>
        </w:tblPrEx>
        <w:trPr>
          <w:trHeight w:val="36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达到质量标准（绩效标准值）的实际工作数与计划工作数的比率,用以反映和考核部门履职质量目标的实现程度。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质量达标率=（质量达标实际工作数/计划工作数）×100%。实际得分=达标率*8分</w:t>
            </w:r>
          </w:p>
        </w:tc>
      </w:tr>
      <w:tr>
        <w:tblPrEx>
          <w:tblCellMar>
            <w:top w:w="0" w:type="dxa"/>
            <w:left w:w="28" w:type="dxa"/>
            <w:bottom w:w="0" w:type="dxa"/>
            <w:right w:w="28" w:type="dxa"/>
          </w:tblCellMar>
        </w:tblPrEx>
        <w:trPr>
          <w:trHeight w:val="110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重点工作办结率（10分）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10</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部门年度重点工作实际完成数与交办或下达数的比率，用以反映部门对重点工作的办理落实程度。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重点工作办结率=（重点工作实际完成数/交办或下达数）×100%。实际得分=办结率*10分</w:t>
            </w:r>
          </w:p>
        </w:tc>
      </w:tr>
      <w:tr>
        <w:tblPrEx>
          <w:tblCellMar>
            <w:top w:w="0" w:type="dxa"/>
            <w:left w:w="28" w:type="dxa"/>
            <w:bottom w:w="0" w:type="dxa"/>
            <w:right w:w="28" w:type="dxa"/>
          </w:tblCellMar>
        </w:tblPrEx>
        <w:trPr>
          <w:trHeight w:val="55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效   果（20分）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履职</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效益（20分）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经济效益（5分）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部门履行职责对经济发展所带来的直接或间接影响。</w:t>
            </w:r>
          </w:p>
        </w:tc>
        <w:tc>
          <w:tcPr>
            <w:tcW w:w="3417"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按经济效益实现程度计算得分（5分）；按社会效益实现程度计算得分（5分）；按生态效益实现程度计算得分（5分）</w:t>
            </w:r>
          </w:p>
        </w:tc>
      </w:tr>
      <w:tr>
        <w:tblPrEx>
          <w:tblCellMar>
            <w:top w:w="0" w:type="dxa"/>
            <w:left w:w="28" w:type="dxa"/>
            <w:bottom w:w="0" w:type="dxa"/>
            <w:right w:w="28" w:type="dxa"/>
          </w:tblCellMar>
        </w:tblPrEx>
        <w:trPr>
          <w:trHeight w:val="54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部门履行职责对社会发展所带来的直接或间接影响。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CellMar>
            <w:top w:w="0" w:type="dxa"/>
            <w:left w:w="28" w:type="dxa"/>
            <w:bottom w:w="0" w:type="dxa"/>
            <w:right w:w="28" w:type="dxa"/>
          </w:tblCellMar>
        </w:tblPrEx>
        <w:trPr>
          <w:trHeight w:val="55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生态效益（5分）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部门履行职责对生态环境所带来的直接或间接影响。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CellMar>
            <w:top w:w="0" w:type="dxa"/>
            <w:left w:w="28" w:type="dxa"/>
            <w:bottom w:w="0" w:type="dxa"/>
            <w:right w:w="28" w:type="dxa"/>
          </w:tblCellMar>
        </w:tblPrEx>
        <w:trPr>
          <w:trHeight w:val="901"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社会公众或服务对象满意度（5分）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社会公众或部门的服务对象对部门履职效果的满意程度。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按收集到的服务对象的满意率计算得分（5分）</w:t>
            </w:r>
          </w:p>
        </w:tc>
      </w:tr>
      <w:tr>
        <w:tblPrEx>
          <w:tblCellMar>
            <w:top w:w="0" w:type="dxa"/>
            <w:left w:w="28" w:type="dxa"/>
            <w:bottom w:w="0" w:type="dxa"/>
            <w:right w:w="28" w:type="dxa"/>
          </w:tblCellMar>
        </w:tblPrEx>
        <w:trPr>
          <w:trHeight w:val="1247" w:hRule="atLeast"/>
          <w:jc w:val="center"/>
        </w:trPr>
        <w:tc>
          <w:tcPr>
            <w:tcW w:w="220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cs="仿宋_GB2312"/>
                <w:sz w:val="21"/>
                <w:szCs w:val="21"/>
                <w:lang w:eastAsia="zh-CN"/>
              </w:rPr>
              <w:t>合计</w:t>
            </w:r>
          </w:p>
        </w:tc>
        <w:tc>
          <w:tcPr>
            <w:tcW w:w="76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99.1</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p>
        </w:tc>
        <w:tc>
          <w:tcPr>
            <w:tcW w:w="34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kern w:val="0"/>
                <w:sz w:val="21"/>
                <w:szCs w:val="21"/>
              </w:rPr>
            </w:pPr>
          </w:p>
        </w:tc>
      </w:tr>
    </w:tbl>
    <w:p>
      <w:pPr>
        <w:rPr>
          <w:rFonts w:hint="eastAsia" w:ascii="仿宋_GB2312" w:hAnsi="仿宋_GB2312" w:eastAsia="仿宋_GB2312" w:cs="仿宋_GB2312"/>
          <w:sz w:val="24"/>
          <w:szCs w:val="24"/>
        </w:rPr>
      </w:pPr>
      <w:bookmarkStart w:id="0" w:name="_GoBack"/>
      <w:bookmarkEnd w:id="0"/>
    </w:p>
    <w:sectPr>
      <w:footerReference r:id="rId3" w:type="default"/>
      <w:pgSz w:w="11906" w:h="16838"/>
      <w:pgMar w:top="1723" w:right="1800" w:bottom="1723"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3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yODVlNTg1NWQxZTJjZWM5M2ZjYmRmYTJkMDQxZjMifQ=="/>
  </w:docVars>
  <w:rsids>
    <w:rsidRoot w:val="00000000"/>
    <w:rsid w:val="100F03D1"/>
    <w:rsid w:val="132E4195"/>
    <w:rsid w:val="1E6F4DE9"/>
    <w:rsid w:val="45FD6295"/>
    <w:rsid w:val="4A1F22B8"/>
    <w:rsid w:val="6D321A9B"/>
    <w:rsid w:val="9DF9470D"/>
    <w:rsid w:val="EF3E0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3550</Words>
  <Characters>3683</Characters>
  <Lines>0</Lines>
  <Paragraphs>0</Paragraphs>
  <TotalTime>8</TotalTime>
  <ScaleCrop>false</ScaleCrop>
  <LinksUpToDate>false</LinksUpToDate>
  <CharactersWithSpaces>3729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jyjcg</dc:creator>
  <cp:lastModifiedBy>喀叽喀叽～芥子</cp:lastModifiedBy>
  <dcterms:modified xsi:type="dcterms:W3CDTF">2023-04-04T02:20:40Z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6FE3458FCA564985932A798CFB117813_12</vt:lpwstr>
  </property>
</Properties>
</file>