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段家营社区、郎家营社区赵家山农田高效节水</w:t>
      </w: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项目绩效报告</w:t>
      </w:r>
    </w:p>
    <w:p>
      <w:pPr>
        <w:spacing w:line="560" w:lineRule="exact"/>
        <w:jc w:val="center"/>
        <w:rPr>
          <w:rFonts w:ascii="仿宋_GB2312" w:hAnsi="仿宋_GB2312" w:cs="仿宋_GB2312"/>
          <w:b/>
          <w:szCs w:val="32"/>
        </w:rPr>
      </w:pP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一、基本情况</w:t>
      </w:r>
    </w:p>
    <w:p>
      <w:pPr>
        <w:topLinePunct/>
        <w:spacing w:line="560" w:lineRule="exact"/>
        <w:ind w:firstLine="594" w:firstLineChars="200"/>
        <w:rPr>
          <w:rFonts w:hint="eastAsia" w:ascii="楷体" w:hAnsi="楷体" w:eastAsia="楷体" w:cs="楷体"/>
          <w:szCs w:val="32"/>
        </w:rPr>
      </w:pPr>
      <w:r>
        <w:rPr>
          <w:rFonts w:hint="eastAsia" w:ascii="楷体" w:hAnsi="楷体" w:eastAsia="楷体" w:cs="楷体"/>
          <w:szCs w:val="32"/>
        </w:rPr>
        <w:t>（一）项目概况</w:t>
      </w:r>
    </w:p>
    <w:p>
      <w:pPr>
        <w:topLinePunct/>
        <w:spacing w:line="560" w:lineRule="exa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建设项目位于昆明市呈贡区吴家营街道办事处段家营社区和郎家营社区赵家山小组，</w:t>
      </w:r>
      <w:r>
        <w:rPr>
          <w:rFonts w:hint="eastAsia" w:ascii="仿宋_GB2312" w:hAnsi="仿宋_GB2312" w:eastAsia="仿宋_GB2312" w:cs="仿宋_GB2312"/>
          <w:sz w:val="32"/>
          <w:szCs w:val="32"/>
          <w:lang w:val="en-US" w:eastAsia="zh-CN"/>
        </w:rPr>
        <w:t>涉及2个居委会3个村小组，共318户，1086人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2020年9月通过立项报告批复，2021年1月动工，</w:t>
      </w:r>
      <w:r>
        <w:rPr>
          <w:rFonts w:hint="eastAsia" w:ascii="仿宋_GB2312" w:hAnsi="仿宋_GB2312" w:eastAsia="仿宋_GB2312" w:cs="仿宋_GB2312"/>
          <w:sz w:val="32"/>
          <w:szCs w:val="32"/>
          <w:lang w:eastAsia="zh-CN"/>
        </w:rPr>
        <w:t>总投资估算</w:t>
      </w:r>
      <w:r>
        <w:rPr>
          <w:rFonts w:hint="eastAsia" w:ascii="仿宋_GB2312" w:hAnsi="仿宋_GB2312" w:eastAsia="仿宋_GB2312" w:cs="仿宋_GB2312"/>
          <w:sz w:val="32"/>
          <w:szCs w:val="32"/>
          <w:lang w:val="en-US" w:eastAsia="zh-CN"/>
        </w:rPr>
        <w:t>916.16万元，资金来源主要为市级和区级财政。</w:t>
      </w:r>
    </w:p>
    <w:p>
      <w:pPr>
        <w:numPr>
          <w:ilvl w:val="0"/>
          <w:numId w:val="1"/>
        </w:numPr>
        <w:topLinePunct/>
        <w:spacing w:line="560" w:lineRule="exact"/>
        <w:ind w:firstLine="594" w:firstLineChars="200"/>
        <w:rPr>
          <w:rFonts w:hint="eastAsia" w:ascii="楷体" w:hAnsi="楷体" w:eastAsia="楷体" w:cs="楷体"/>
          <w:szCs w:val="32"/>
        </w:rPr>
      </w:pPr>
      <w:r>
        <w:rPr>
          <w:rFonts w:hint="eastAsia" w:ascii="楷体" w:hAnsi="楷体" w:eastAsia="楷体" w:cs="楷体"/>
          <w:szCs w:val="32"/>
        </w:rPr>
        <w:t>项目绩效目标</w:t>
      </w:r>
    </w:p>
    <w:p>
      <w:pPr>
        <w:pStyle w:val="2"/>
        <w:numPr>
          <w:ilvl w:val="0"/>
          <w:numId w:val="0"/>
        </w:numPr>
        <w:ind w:firstLine="594" w:firstLineChars="200"/>
        <w:rPr>
          <w:rFonts w:hint="eastAsia"/>
          <w:lang w:val="en-US" w:eastAsia="zh-CN"/>
        </w:rPr>
      </w:pPr>
      <w:r>
        <w:rPr>
          <w:rFonts w:hint="eastAsia"/>
          <w:lang w:eastAsia="zh-CN"/>
        </w:rPr>
        <w:t>通过该项目工程的建设，改善项目区灌溉条件，项目区</w:t>
      </w:r>
      <w:r>
        <w:rPr>
          <w:rFonts w:hint="eastAsia"/>
          <w:lang w:val="en-US" w:eastAsia="zh-CN"/>
        </w:rPr>
        <w:t>2750亩耕地实现低压管道灌溉方式，使项目区灌溉供水保证率提高到85%以上，田间水利用系数提高到0.85以上，年均农作物产量较项目实施前增加220.72万千克，年增产值较项目实施前增加434.69万元，农民年收入增加4003元，增加纯收入1200元。同时，完善配套田间灌溉体系，加大自动化灌溉与信息化管理系统建设，减少农户灌水强度，大力发展山区有效灌溉面积，加大高产节水灌溉技术推广；全面推广农田水利改革试点经验，创新水利工程建设、运营和管理体制，实现山区农田水利工程长效良性运行，为农业产业增效、经济社会全面发展提供坚实的水利保障。</w:t>
      </w:r>
    </w:p>
    <w:p>
      <w:pPr>
        <w:pStyle w:val="2"/>
        <w:numPr>
          <w:ilvl w:val="0"/>
          <w:numId w:val="0"/>
        </w:numPr>
        <w:ind w:firstLine="594" w:firstLineChars="200"/>
        <w:rPr>
          <w:rFonts w:hint="default"/>
          <w:lang w:val="en-US" w:eastAsia="zh-CN"/>
        </w:rPr>
      </w:pPr>
      <w:r>
        <w:rPr>
          <w:rFonts w:hint="eastAsia"/>
          <w:lang w:val="en-US" w:eastAsia="zh-CN"/>
        </w:rPr>
        <w:t>主要建设任务为新建泵站及配套田间水池、管网，改善项目区2750亩农田灌溉条件，提高农业生产能力，增加农民收入。</w:t>
      </w: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二、项目单位绩效报告情况</w:t>
      </w:r>
    </w:p>
    <w:p>
      <w:pPr>
        <w:topLinePunct/>
        <w:spacing w:line="560" w:lineRule="exact"/>
        <w:ind w:firstLine="594" w:firstLineChars="200"/>
        <w:rPr>
          <w:rFonts w:ascii="仿宋_GB2312" w:hAnsi="仿宋_GB2312" w:cs="仿宋_GB2312"/>
          <w:szCs w:val="32"/>
        </w:rPr>
      </w:pPr>
      <w:r>
        <w:rPr>
          <w:rFonts w:hint="eastAsia" w:ascii="仿宋_GB2312" w:hAnsi="仿宋_GB2312" w:cs="仿宋_GB2312"/>
          <w:szCs w:val="32"/>
        </w:rPr>
        <w:t>项目单位建立健全项目实施预算方案、财务管理制度和会议核算制度，此次绩效评价过程中未发现有截留、挤占或挪用项目资金的情况。</w:t>
      </w: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三、绩效评价工作情况</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（一）绩效评价目的</w:t>
      </w:r>
    </w:p>
    <w:p>
      <w:pPr>
        <w:spacing w:line="560" w:lineRule="exact"/>
        <w:ind w:firstLine="594" w:firstLineChars="200"/>
        <w:contextualSpacing/>
        <w:rPr>
          <w:rFonts w:hint="eastAsia" w:ascii="仿宋_GB2312" w:hAnsi="仿宋"/>
          <w:szCs w:val="32"/>
        </w:rPr>
      </w:pPr>
      <w:r>
        <w:rPr>
          <w:rFonts w:hint="eastAsia" w:ascii="仿宋_GB2312" w:hAnsi="仿宋"/>
          <w:szCs w:val="32"/>
        </w:rPr>
        <w:t>本次自评的目的是了解202</w:t>
      </w:r>
      <w:r>
        <w:rPr>
          <w:rFonts w:hint="eastAsia" w:ascii="仿宋_GB2312" w:hAnsi="仿宋"/>
          <w:szCs w:val="32"/>
          <w:lang w:val="en-US" w:eastAsia="zh-CN"/>
        </w:rPr>
        <w:t>2</w:t>
      </w:r>
      <w:r>
        <w:rPr>
          <w:rFonts w:hint="eastAsia" w:ascii="仿宋_GB2312" w:hAnsi="仿宋"/>
          <w:szCs w:val="32"/>
        </w:rPr>
        <w:t>年度财政资金预算支出的绩效状况，为今后预算安排提供决策支持。实施科学的财政支出绩效评价，建立健全财政支出评价标准、运作程序和评价体系，是提高财政支出绩效的有效方式。进一步增强本单位支出管理的责任，优化支出结构，提升预算管理水平，保障更好地履行职责，提高公务服务质量和财政资金使用效益；提高资金的使用效率，充分发挥财政资金效益；可以推进项目实施进度，科学反映项目产出水平，促进当地经济健康发展。</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（二）绩效评价的原则、评价指标体系、评价方法</w:t>
      </w:r>
    </w:p>
    <w:p>
      <w:pPr>
        <w:spacing w:line="560" w:lineRule="exact"/>
        <w:ind w:firstLine="594" w:firstLineChars="200"/>
        <w:textAlignment w:val="center"/>
        <w:rPr>
          <w:rStyle w:val="12"/>
          <w:rFonts w:ascii="仿宋_GB2312" w:hAnsi="仿宋_GB2312" w:eastAsia="仿宋_GB2312" w:cs="仿宋_GB2312"/>
          <w:b w:val="0"/>
          <w:sz w:val="32"/>
          <w:szCs w:val="32"/>
        </w:rPr>
      </w:pPr>
      <w:r>
        <w:rPr>
          <w:rStyle w:val="12"/>
          <w:rFonts w:hint="eastAsia" w:ascii="仿宋_GB2312" w:hAnsi="仿宋_GB2312" w:eastAsia="仿宋_GB2312" w:cs="仿宋_GB2312"/>
          <w:b w:val="0"/>
          <w:sz w:val="32"/>
          <w:szCs w:val="32"/>
        </w:rPr>
        <w:t>按《预算法》的规定，做好绩效评价工作，主要包括拟定绩效评价方案，选取合适的绩效评价方式，设计绩效评价指标体系等。绩效评价小组按上级相关部门要求开展工作，保证工作按时完成。</w:t>
      </w:r>
    </w:p>
    <w:p>
      <w:pPr>
        <w:spacing w:line="560" w:lineRule="exact"/>
        <w:ind w:firstLine="594" w:firstLineChars="200"/>
        <w:contextualSpacing/>
        <w:rPr>
          <w:rFonts w:hint="eastAsia" w:ascii="楷体" w:hAnsi="楷体" w:eastAsia="楷体" w:cs="楷体"/>
          <w:szCs w:val="32"/>
        </w:rPr>
      </w:pPr>
      <w:r>
        <w:rPr>
          <w:rFonts w:hint="eastAsia" w:ascii="楷体" w:hAnsi="楷体" w:eastAsia="楷体" w:cs="楷体"/>
          <w:szCs w:val="32"/>
        </w:rPr>
        <w:t>（三）绩效评价工作过程</w:t>
      </w:r>
    </w:p>
    <w:p>
      <w:pPr>
        <w:spacing w:line="560" w:lineRule="exact"/>
        <w:ind w:firstLine="594" w:firstLineChars="200"/>
        <w:contextualSpacing/>
        <w:rPr>
          <w:rFonts w:hint="eastAsia" w:ascii="仿宋_GB2312" w:hAnsi="仿宋"/>
          <w:szCs w:val="32"/>
        </w:rPr>
      </w:pPr>
      <w:r>
        <w:rPr>
          <w:rFonts w:hint="eastAsia" w:ascii="仿宋_GB2312" w:hAnsi="仿宋"/>
          <w:szCs w:val="32"/>
        </w:rPr>
        <w:t>根据呈贡区财政局《关</w:t>
      </w:r>
      <w:r>
        <w:rPr>
          <w:rFonts w:hint="eastAsia" w:ascii="仿宋_GB2312" w:hAnsi="仿宋"/>
          <w:color w:val="auto"/>
          <w:szCs w:val="32"/>
        </w:rPr>
        <w:t>于开展20</w:t>
      </w:r>
      <w:r>
        <w:rPr>
          <w:rFonts w:hint="eastAsia" w:ascii="仿宋_GB2312" w:hAnsi="仿宋"/>
          <w:color w:val="auto"/>
          <w:szCs w:val="32"/>
          <w:lang w:val="en-US" w:eastAsia="zh-CN"/>
        </w:rPr>
        <w:t>22</w:t>
      </w:r>
      <w:r>
        <w:rPr>
          <w:rFonts w:hint="eastAsia" w:ascii="仿宋_GB2312" w:hAnsi="仿宋"/>
          <w:color w:val="auto"/>
          <w:szCs w:val="32"/>
        </w:rPr>
        <w:t>年度区</w:t>
      </w:r>
      <w:r>
        <w:rPr>
          <w:rFonts w:hint="eastAsia" w:ascii="仿宋_GB2312" w:hAnsi="仿宋"/>
          <w:szCs w:val="32"/>
        </w:rPr>
        <w:t>级预算支出绩效自评工作的通知》等相关文件要求，吴家营街道办事处成立了绩效评价工作领导小组、认真开展自评工作。绩效评价工作主要如下：</w:t>
      </w:r>
    </w:p>
    <w:p>
      <w:pPr>
        <w:spacing w:line="560" w:lineRule="exact"/>
        <w:ind w:firstLine="594" w:firstLineChars="200"/>
        <w:contextualSpacing/>
        <w:rPr>
          <w:rFonts w:hint="eastAsia" w:ascii="仿宋_GB2312" w:hAnsi="仿宋"/>
          <w:szCs w:val="32"/>
        </w:rPr>
      </w:pPr>
      <w:r>
        <w:rPr>
          <w:rFonts w:hint="eastAsia" w:ascii="仿宋_GB2312" w:hAnsi="仿宋"/>
          <w:szCs w:val="32"/>
        </w:rPr>
        <w:t>1.核实数据。对202</w:t>
      </w:r>
      <w:r>
        <w:rPr>
          <w:rFonts w:hint="eastAsia" w:ascii="仿宋_GB2312" w:hAnsi="仿宋"/>
          <w:szCs w:val="32"/>
          <w:lang w:val="en-US" w:eastAsia="zh-CN"/>
        </w:rPr>
        <w:t>2</w:t>
      </w:r>
      <w:r>
        <w:rPr>
          <w:rFonts w:hint="eastAsia" w:ascii="仿宋_GB2312" w:hAnsi="仿宋"/>
          <w:szCs w:val="32"/>
        </w:rPr>
        <w:t>年度部门</w:t>
      </w:r>
      <w:r>
        <w:rPr>
          <w:rFonts w:hint="eastAsia" w:ascii="仿宋_GB2312" w:hAnsi="仿宋"/>
          <w:szCs w:val="32"/>
          <w:lang w:eastAsia="zh-CN"/>
        </w:rPr>
        <w:t>项目</w:t>
      </w:r>
      <w:r>
        <w:rPr>
          <w:rFonts w:hint="eastAsia" w:ascii="仿宋_GB2312" w:hAnsi="仿宋"/>
          <w:szCs w:val="32"/>
        </w:rPr>
        <w:t>支出数据的准确性、真实性进行核实，将202</w:t>
      </w:r>
      <w:r>
        <w:rPr>
          <w:rFonts w:hint="eastAsia" w:ascii="仿宋_GB2312" w:hAnsi="仿宋"/>
          <w:szCs w:val="32"/>
          <w:lang w:val="en-US" w:eastAsia="zh-CN"/>
        </w:rPr>
        <w:t>2</w:t>
      </w:r>
      <w:r>
        <w:rPr>
          <w:rFonts w:hint="eastAsia" w:ascii="仿宋_GB2312" w:hAnsi="仿宋"/>
          <w:szCs w:val="32"/>
        </w:rPr>
        <w:t>年度和20</w:t>
      </w:r>
      <w:r>
        <w:rPr>
          <w:rFonts w:hint="eastAsia" w:ascii="仿宋_GB2312" w:hAnsi="仿宋"/>
          <w:szCs w:val="32"/>
          <w:lang w:val="en-US" w:eastAsia="zh-CN"/>
        </w:rPr>
        <w:t>21</w:t>
      </w:r>
      <w:r>
        <w:rPr>
          <w:rFonts w:hint="eastAsia" w:ascii="仿宋_GB2312" w:hAnsi="仿宋"/>
          <w:szCs w:val="32"/>
        </w:rPr>
        <w:t>年度部门</w:t>
      </w:r>
      <w:r>
        <w:rPr>
          <w:rFonts w:hint="eastAsia" w:ascii="仿宋_GB2312" w:hAnsi="仿宋"/>
          <w:szCs w:val="32"/>
          <w:lang w:eastAsia="zh-CN"/>
        </w:rPr>
        <w:t>项目支</w:t>
      </w:r>
      <w:r>
        <w:rPr>
          <w:rFonts w:hint="eastAsia" w:ascii="仿宋_GB2312" w:hAnsi="仿宋"/>
          <w:szCs w:val="32"/>
        </w:rPr>
        <w:t>出情况进行比较分析。</w:t>
      </w:r>
    </w:p>
    <w:p>
      <w:pPr>
        <w:spacing w:line="560" w:lineRule="exact"/>
        <w:ind w:firstLine="594" w:firstLineChars="200"/>
        <w:contextualSpacing/>
        <w:rPr>
          <w:rFonts w:hint="eastAsia" w:ascii="仿宋_GB2312" w:hAnsi="仿宋"/>
          <w:szCs w:val="32"/>
        </w:rPr>
      </w:pPr>
      <w:r>
        <w:rPr>
          <w:rFonts w:hint="eastAsia" w:ascii="仿宋_GB2312" w:hAnsi="仿宋"/>
          <w:szCs w:val="32"/>
        </w:rPr>
        <w:t>2.查阅资料。查阅202</w:t>
      </w:r>
      <w:r>
        <w:rPr>
          <w:rFonts w:hint="eastAsia" w:ascii="仿宋_GB2312" w:hAnsi="仿宋"/>
          <w:szCs w:val="32"/>
          <w:lang w:val="en-US" w:eastAsia="zh-CN"/>
        </w:rPr>
        <w:t>2</w:t>
      </w:r>
      <w:r>
        <w:rPr>
          <w:rFonts w:hint="eastAsia" w:ascii="仿宋_GB2312" w:hAnsi="仿宋"/>
          <w:szCs w:val="32"/>
        </w:rPr>
        <w:t>年度预算安排、</w:t>
      </w:r>
      <w:bookmarkStart w:id="1" w:name="_GoBack"/>
      <w:bookmarkEnd w:id="1"/>
      <w:r>
        <w:rPr>
          <w:rFonts w:hint="eastAsia" w:ascii="仿宋_GB2312" w:hAnsi="仿宋"/>
          <w:szCs w:val="32"/>
        </w:rPr>
        <w:t>资金管理、经费支出、资产管理等相关文件资料和财务凭证。</w:t>
      </w:r>
    </w:p>
    <w:p>
      <w:pPr>
        <w:spacing w:line="560" w:lineRule="exact"/>
        <w:ind w:firstLine="594" w:firstLineChars="200"/>
        <w:contextualSpacing/>
        <w:rPr>
          <w:rFonts w:hint="eastAsia" w:ascii="仿宋_GB2312" w:hAnsi="仿宋"/>
          <w:szCs w:val="32"/>
        </w:rPr>
      </w:pPr>
      <w:r>
        <w:rPr>
          <w:rFonts w:hint="eastAsia" w:ascii="仿宋_GB2312" w:hAnsi="仿宋"/>
          <w:szCs w:val="32"/>
        </w:rPr>
        <w:t>3.归纳汇总。对收集的评价材料结合本单位情况进行综合分析、归纳汇总。</w:t>
      </w:r>
    </w:p>
    <w:p>
      <w:pPr>
        <w:spacing w:line="560" w:lineRule="exact"/>
        <w:ind w:firstLine="594" w:firstLineChars="200"/>
        <w:contextualSpacing/>
        <w:rPr>
          <w:rFonts w:hint="eastAsia" w:ascii="仿宋_GB2312" w:hAnsi="仿宋"/>
          <w:szCs w:val="32"/>
        </w:rPr>
      </w:pPr>
      <w:r>
        <w:rPr>
          <w:rFonts w:hint="eastAsia" w:ascii="仿宋_GB2312" w:hAnsi="仿宋"/>
          <w:szCs w:val="32"/>
        </w:rPr>
        <w:t>4.根据评价材料结合各项评价指标进行分析评分。</w:t>
      </w:r>
    </w:p>
    <w:p>
      <w:pPr>
        <w:spacing w:line="560" w:lineRule="exact"/>
        <w:ind w:firstLine="594" w:firstLineChars="200"/>
        <w:contextualSpacing/>
        <w:rPr>
          <w:rFonts w:ascii="楷体" w:hAnsi="楷体" w:eastAsia="楷体" w:cs="楷体"/>
          <w:szCs w:val="32"/>
        </w:rPr>
      </w:pPr>
      <w:r>
        <w:rPr>
          <w:rFonts w:hint="eastAsia" w:ascii="仿宋_GB2312" w:hAnsi="仿宋"/>
          <w:szCs w:val="32"/>
        </w:rPr>
        <w:t>5.形成绩效评价自评报告。</w:t>
      </w:r>
    </w:p>
    <w:p>
      <w:pPr>
        <w:spacing w:line="560" w:lineRule="exact"/>
        <w:ind w:firstLine="594" w:firstLineChars="200"/>
        <w:textAlignment w:val="center"/>
        <w:rPr>
          <w:rStyle w:val="12"/>
          <w:rFonts w:ascii="仿宋_GB2312" w:hAnsi="仿宋_GB2312" w:eastAsia="仿宋_GB2312" w:cs="仿宋_GB2312"/>
          <w:b w:val="0"/>
          <w:sz w:val="32"/>
          <w:szCs w:val="32"/>
        </w:rPr>
      </w:pPr>
      <w:r>
        <w:rPr>
          <w:rStyle w:val="12"/>
          <w:rFonts w:hint="eastAsia" w:ascii="仿宋_GB2312" w:hAnsi="仿宋_GB2312" w:eastAsia="仿宋_GB2312" w:cs="仿宋_GB2312"/>
          <w:b w:val="0"/>
          <w:sz w:val="32"/>
          <w:szCs w:val="32"/>
        </w:rPr>
        <w:t>街道成立绩效评价工作小组，负责对绩效评价工作的组织领导和具体实施，</w:t>
      </w: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四、绩效评价指标分析情况</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（一）项目资金情况分析</w:t>
      </w:r>
    </w:p>
    <w:p>
      <w:pPr>
        <w:spacing w:line="560" w:lineRule="exact"/>
        <w:ind w:firstLine="594" w:firstLineChars="200"/>
        <w:rPr>
          <w:rFonts w:ascii="仿宋_GB2312" w:hAnsi="仿宋_GB2312" w:cs="仿宋_GB2312"/>
          <w:szCs w:val="32"/>
        </w:rPr>
      </w:pPr>
      <w:r>
        <w:rPr>
          <w:kern w:val="0"/>
          <w:szCs w:val="28"/>
        </w:rPr>
        <w:t>呈贡区段家营社区、郎家营社区赵家山村农田高效节水灌溉项目</w:t>
      </w:r>
      <w:r>
        <w:rPr>
          <w:rFonts w:hint="eastAsia" w:ascii="仿宋_GB2312" w:hAnsi="仿宋_GB2312" w:cs="仿宋_GB2312"/>
          <w:szCs w:val="32"/>
        </w:rPr>
        <w:t>是政府出资，由</w:t>
      </w:r>
      <w:r>
        <w:rPr>
          <w:rFonts w:hint="eastAsia" w:ascii="仿宋_GB2312" w:hAnsi="仿宋_GB2312" w:cs="仿宋_GB2312"/>
          <w:szCs w:val="32"/>
          <w:lang w:eastAsia="zh-CN"/>
        </w:rPr>
        <w:t>吴家营街道办事处为</w:t>
      </w:r>
      <w:r>
        <w:rPr>
          <w:rFonts w:hint="eastAsia" w:ascii="仿宋_GB2312" w:hAnsi="仿宋_GB2312" w:cs="仿宋_GB2312"/>
          <w:spacing w:val="20"/>
          <w:szCs w:val="32"/>
        </w:rPr>
        <w:t>项目</w:t>
      </w:r>
      <w:r>
        <w:rPr>
          <w:rFonts w:hint="eastAsia" w:ascii="仿宋_GB2312" w:hAnsi="仿宋_GB2312" w:cs="仿宋_GB2312"/>
          <w:szCs w:val="32"/>
        </w:rPr>
        <w:t>实施主体，</w:t>
      </w:r>
      <w:r>
        <w:rPr>
          <w:rFonts w:hint="eastAsia" w:ascii="仿宋_GB2312" w:hAnsi="仿宋_GB2312" w:cs="仿宋_GB2312"/>
          <w:spacing w:val="20"/>
          <w:szCs w:val="32"/>
        </w:rPr>
        <w:t>负责建设。吴家营街道办事处督促</w:t>
      </w:r>
      <w:r>
        <w:rPr>
          <w:rFonts w:hint="eastAsia" w:ascii="仿宋_GB2312" w:hAnsi="仿宋_GB2312" w:cs="仿宋_GB2312"/>
          <w:spacing w:val="20"/>
          <w:szCs w:val="32"/>
          <w:lang w:eastAsia="zh-CN"/>
        </w:rPr>
        <w:t>施工方</w:t>
      </w:r>
      <w:r>
        <w:rPr>
          <w:rFonts w:hint="eastAsia" w:ascii="仿宋_GB2312" w:hAnsi="仿宋_GB2312" w:cs="仿宋_GB2312"/>
          <w:spacing w:val="20"/>
          <w:szCs w:val="32"/>
        </w:rPr>
        <w:t>按照相关部门批准的</w:t>
      </w:r>
      <w:r>
        <w:rPr>
          <w:kern w:val="0"/>
          <w:szCs w:val="28"/>
        </w:rPr>
        <w:t>农田高效节水灌溉项目</w:t>
      </w:r>
      <w:r>
        <w:rPr>
          <w:rFonts w:hint="eastAsia" w:ascii="仿宋_GB2312" w:hAnsi="仿宋_GB2312" w:cs="仿宋_GB2312"/>
          <w:spacing w:val="20"/>
          <w:szCs w:val="32"/>
        </w:rPr>
        <w:t>标准进行修建，并按照工程建设招标程序的相关规定，进行公开招标建设，严把工程质量关。</w:t>
      </w:r>
    </w:p>
    <w:p>
      <w:pPr>
        <w:topLinePunct/>
        <w:spacing w:line="560" w:lineRule="exact"/>
        <w:ind w:firstLine="594" w:firstLineChars="200"/>
        <w:rPr>
          <w:rFonts w:ascii="楷体" w:hAnsi="楷体" w:eastAsia="楷体" w:cs="楷体"/>
          <w:szCs w:val="32"/>
        </w:rPr>
      </w:pPr>
      <w:r>
        <w:rPr>
          <w:rFonts w:hint="eastAsia" w:ascii="楷体" w:hAnsi="楷体" w:eastAsia="楷体" w:cs="楷体"/>
          <w:szCs w:val="32"/>
        </w:rPr>
        <w:t>（三）项目绩效情况分析</w:t>
      </w:r>
    </w:p>
    <w:p>
      <w:pPr>
        <w:spacing w:line="560" w:lineRule="exact"/>
        <w:ind w:firstLine="674" w:firstLineChars="200"/>
        <w:rPr>
          <w:rFonts w:hint="eastAsia" w:ascii="仿宋_GB2312" w:hAnsi="仿宋_GB2312" w:cs="仿宋_GB2312"/>
          <w:spacing w:val="20"/>
          <w:szCs w:val="32"/>
        </w:rPr>
      </w:pPr>
      <w:r>
        <w:rPr>
          <w:rFonts w:hint="eastAsia" w:ascii="仿宋_GB2312" w:hAnsi="仿宋_GB2312" w:cs="仿宋_GB2312"/>
          <w:spacing w:val="20"/>
          <w:szCs w:val="32"/>
          <w:lang w:val="en-US" w:eastAsia="zh-CN"/>
        </w:rPr>
        <w:t>1.</w:t>
      </w:r>
      <w:r>
        <w:rPr>
          <w:rFonts w:hint="eastAsia" w:ascii="仿宋_GB2312" w:hAnsi="仿宋_GB2312" w:cs="仿宋_GB2312"/>
          <w:spacing w:val="20"/>
          <w:szCs w:val="32"/>
        </w:rPr>
        <w:t>项目的经济性分析</w:t>
      </w:r>
    </w:p>
    <w:p>
      <w:pPr>
        <w:ind w:firstLine="594" w:firstLineChars="200"/>
      </w:pPr>
      <w:bookmarkStart w:id="0" w:name="_Hlk37248096"/>
      <w:r>
        <w:t>项目区工程建成后，新增灌溉面积2750亩，新增作物产量220.72万kg，年新增产值434.69万元，年新增纯收入130.41万元，项目区涉及人口1086人，人均新增纯收入1200元，项目实施后，将改善项目区农业生产条件，提高农民收入。项目建成后，田间水利用系数明显提高，年新增节水量23.52万m³。</w:t>
      </w:r>
    </w:p>
    <w:p>
      <w:pPr>
        <w:topLinePunct/>
        <w:spacing w:line="560" w:lineRule="exact"/>
        <w:ind w:firstLine="594" w:firstLineChars="200"/>
        <w:rPr>
          <w:rFonts w:ascii="仿宋_GB2312" w:hAnsi="仿宋_GB2312" w:cs="仿宋_GB2312"/>
          <w:color w:val="92D050"/>
          <w:szCs w:val="32"/>
        </w:rPr>
      </w:pPr>
      <w:r>
        <w:rPr>
          <w:snapToGrid w:val="0"/>
        </w:rPr>
        <w:t>经测算，投资的财务内部收益率为10.26%，按8%的基准收益率计算净现值为111.84万元，投资回收期为8.49年，因此在财务上具有可行性。</w:t>
      </w:r>
      <w:bookmarkEnd w:id="0"/>
    </w:p>
    <w:p>
      <w:pPr>
        <w:spacing w:line="560" w:lineRule="exact"/>
        <w:ind w:firstLine="674" w:firstLineChars="200"/>
        <w:rPr>
          <w:rFonts w:ascii="仿宋_GB2312" w:hAnsi="仿宋_GB2312" w:cs="仿宋_GB2312"/>
          <w:color w:val="auto"/>
          <w:spacing w:val="20"/>
          <w:szCs w:val="32"/>
        </w:rPr>
      </w:pPr>
      <w:r>
        <w:rPr>
          <w:rFonts w:hint="eastAsia" w:ascii="仿宋_GB2312" w:hAnsi="仿宋_GB2312" w:cs="仿宋_GB2312"/>
          <w:color w:val="auto"/>
          <w:spacing w:val="20"/>
          <w:szCs w:val="32"/>
          <w:lang w:val="en-US" w:eastAsia="zh-CN"/>
        </w:rPr>
        <w:t>2.</w:t>
      </w:r>
      <w:r>
        <w:rPr>
          <w:rFonts w:hint="eastAsia" w:ascii="仿宋_GB2312" w:hAnsi="仿宋_GB2312" w:cs="仿宋_GB2312"/>
          <w:color w:val="auto"/>
          <w:spacing w:val="20"/>
          <w:szCs w:val="32"/>
        </w:rPr>
        <w:t>项目的效率性分析</w:t>
      </w:r>
    </w:p>
    <w:p>
      <w:pPr>
        <w:spacing w:line="560" w:lineRule="exact"/>
        <w:ind w:firstLine="594" w:firstLineChars="200"/>
        <w:rPr>
          <w:rFonts w:ascii="仿宋_GB2312" w:hAnsi="仿宋_GB2312" w:cs="仿宋_GB2312"/>
          <w:b/>
          <w:bCs/>
          <w:color w:val="92D050"/>
          <w:szCs w:val="32"/>
          <w:lang w:val="zh-CN"/>
        </w:rPr>
      </w:pPr>
      <w:r>
        <w:rPr>
          <w:rFonts w:hint="eastAsia" w:ascii="仿宋_GB2312" w:hAnsi="仿宋_GB2312" w:eastAsia="仿宋_GB2312" w:cs="仿宋_GB2312"/>
          <w:color w:val="auto"/>
          <w:sz w:val="32"/>
          <w:szCs w:val="32"/>
          <w:lang w:val="en-US" w:eastAsia="zh-CN"/>
        </w:rPr>
        <w:t>改善农业生产条件，提高经</w:t>
      </w:r>
      <w:r>
        <w:rPr>
          <w:rFonts w:hint="eastAsia" w:ascii="仿宋_GB2312" w:hAnsi="仿宋_GB2312" w:eastAsia="仿宋_GB2312" w:cs="仿宋_GB2312"/>
          <w:sz w:val="32"/>
          <w:szCs w:val="32"/>
          <w:lang w:val="en-US" w:eastAsia="zh-CN"/>
        </w:rPr>
        <w:t>济作物生产能力，为项目区农业发展、调整产业结构奠定基础，带动农业劳动力向二、三产业转移。改善项目区农业生产条件，提高水资源利用系数，年新增产值434.69万元，新增纯收入130.41万元，人均新增纯收入1200元。</w:t>
      </w:r>
    </w:p>
    <w:p>
      <w:pPr>
        <w:spacing w:line="560" w:lineRule="exact"/>
        <w:ind w:firstLine="674" w:firstLineChars="200"/>
        <w:rPr>
          <w:rFonts w:ascii="仿宋_GB2312" w:hAnsi="仿宋_GB2312" w:cs="仿宋_GB2312"/>
          <w:spacing w:val="20"/>
          <w:szCs w:val="32"/>
        </w:rPr>
      </w:pPr>
      <w:r>
        <w:rPr>
          <w:rFonts w:hint="eastAsia" w:ascii="仿宋_GB2312" w:hAnsi="仿宋_GB2312" w:cs="仿宋_GB2312"/>
          <w:spacing w:val="20"/>
          <w:szCs w:val="32"/>
          <w:lang w:val="en-US" w:eastAsia="zh-CN"/>
        </w:rPr>
        <w:t>3.</w:t>
      </w:r>
      <w:r>
        <w:rPr>
          <w:rFonts w:hint="eastAsia" w:ascii="仿宋_GB2312" w:hAnsi="仿宋_GB2312" w:cs="仿宋_GB2312"/>
          <w:spacing w:val="20"/>
          <w:szCs w:val="32"/>
        </w:rPr>
        <w:t>项目的效益性分析</w:t>
      </w:r>
    </w:p>
    <w:p>
      <w:pPr>
        <w:topLinePunct/>
        <w:spacing w:line="560" w:lineRule="exact"/>
        <w:ind w:firstLine="594" w:firstLineChars="200"/>
        <w:rPr>
          <w:rFonts w:hint="eastAsia" w:eastAsia="仿宋_GB2312"/>
          <w:kern w:val="0"/>
          <w:szCs w:val="28"/>
          <w:lang w:eastAsia="zh-CN"/>
        </w:rPr>
      </w:pPr>
      <w:r>
        <w:rPr>
          <w:rFonts w:hint="eastAsia" w:ascii="仿宋_GB2312" w:hAnsi="仿宋_GB2312" w:cs="仿宋_GB2312"/>
          <w:color w:val="auto"/>
          <w:szCs w:val="32"/>
        </w:rPr>
        <w:t>以“实施乡村振兴战略”为目标，通过</w:t>
      </w:r>
      <w:r>
        <w:rPr>
          <w:kern w:val="0"/>
          <w:szCs w:val="28"/>
        </w:rPr>
        <w:t>呈贡区段家营社区、郎家营社区赵家山村农田高效节水灌溉项目</w:t>
      </w:r>
      <w:r>
        <w:rPr>
          <w:rFonts w:hint="eastAsia"/>
          <w:kern w:val="0"/>
          <w:szCs w:val="28"/>
          <w:lang w:eastAsia="zh-CN"/>
        </w:rPr>
        <w:t>建设，加强农村水利基础设施建设，充分调动和发挥各方面积极性，促进农村水利建设持续健康发燕尾服。结合“节水优先、空间均衡、系统治理、两手发力”新时期水利工作方针，加快实施农业节水灌溉工程，为乡村振兴打好基础，也为项目区农业产业发展、广大农村安居乐业提供坚实保障。</w:t>
      </w:r>
    </w:p>
    <w:p>
      <w:pPr>
        <w:spacing w:line="560" w:lineRule="exact"/>
        <w:ind w:firstLine="674" w:firstLineChars="200"/>
        <w:rPr>
          <w:rFonts w:ascii="仿宋_GB2312" w:hAnsi="仿宋_GB2312" w:cs="仿宋_GB2312"/>
          <w:szCs w:val="32"/>
        </w:rPr>
      </w:pPr>
      <w:r>
        <w:rPr>
          <w:rFonts w:hint="eastAsia" w:ascii="仿宋_GB2312" w:hAnsi="仿宋_GB2312" w:cs="仿宋_GB2312"/>
          <w:spacing w:val="20"/>
          <w:szCs w:val="32"/>
        </w:rPr>
        <w:t>本项目资金全部为财政资金。所有资金使用均按照财政资金使用要求使用，专款专用，资金及时到位，保证了项目的顺利建设。</w:t>
      </w: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五、综合评价情况及评价结论</w:t>
      </w:r>
    </w:p>
    <w:p>
      <w:pPr>
        <w:topLinePunct/>
        <w:spacing w:line="560" w:lineRule="exact"/>
        <w:ind w:firstLine="594" w:firstLineChars="200"/>
        <w:rPr>
          <w:rFonts w:ascii="仿宋_GB2312" w:hAnsi="仿宋_GB2312" w:cs="仿宋_GB2312"/>
          <w:szCs w:val="32"/>
        </w:rPr>
      </w:pPr>
      <w:r>
        <w:rPr>
          <w:rFonts w:hint="eastAsia"/>
          <w:kern w:val="0"/>
          <w:szCs w:val="28"/>
          <w:lang w:eastAsia="zh-CN"/>
        </w:rPr>
        <w:t>项目区段家营、郎家营属于半山区，农业基础条件薄弱，项目区缺少水利设施，仅有部分农户自建的小水塘、小水池，所蓄水量难于满足项目区农作物灌溉要求。因此</w:t>
      </w:r>
      <w:r>
        <w:rPr>
          <w:kern w:val="0"/>
          <w:szCs w:val="28"/>
        </w:rPr>
        <w:t>呈贡区段家营社区、郎家营社区赵家山村农田高效节水灌溉项</w:t>
      </w:r>
      <w:r>
        <w:rPr>
          <w:rFonts w:hint="eastAsia"/>
          <w:kern w:val="0"/>
          <w:szCs w:val="28"/>
          <w:lang w:eastAsia="zh-CN"/>
        </w:rPr>
        <w:t>目，</w:t>
      </w:r>
      <w:r>
        <w:rPr>
          <w:kern w:val="0"/>
          <w:szCs w:val="28"/>
        </w:rPr>
        <w:t>项目区水源有保障，自然条件较优越，发展基础较好，群众积极性高，开发综合效益显著。项目的建设建成将对整个呈贡区吴家营发展高效节水灌溉工程，</w:t>
      </w:r>
      <w:r>
        <w:rPr>
          <w:rFonts w:hint="eastAsia"/>
          <w:kern w:val="0"/>
          <w:szCs w:val="28"/>
          <w:lang w:eastAsia="zh-CN"/>
        </w:rPr>
        <w:t>改善项目区农业生产条件，提高单位面积产量，增加农民收入，是提高人民群众生活水平的有效措施。项目建设还能改善项目区生活环境，减少水土流失，为项目区群众创造宜居的生活环境，</w:t>
      </w:r>
      <w:r>
        <w:rPr>
          <w:kern w:val="0"/>
          <w:szCs w:val="28"/>
        </w:rPr>
        <w:t>推动农业现代化建设具有重要的意义</w:t>
      </w:r>
      <w:r>
        <w:rPr>
          <w:rFonts w:hint="eastAsia"/>
          <w:kern w:val="0"/>
          <w:szCs w:val="28"/>
          <w:lang w:eastAsia="zh-CN"/>
        </w:rPr>
        <w:t>，</w:t>
      </w:r>
      <w:r>
        <w:rPr>
          <w:rFonts w:hint="eastAsia" w:ascii="仿宋_GB2312" w:hAnsi="仿宋_GB2312" w:cs="仿宋_GB2312"/>
          <w:szCs w:val="32"/>
        </w:rPr>
        <w:t>为乡村振兴打下坚实基础。</w:t>
      </w:r>
    </w:p>
    <w:p>
      <w:pPr>
        <w:topLinePunct/>
        <w:spacing w:line="560" w:lineRule="exact"/>
        <w:ind w:firstLine="594" w:firstLineChars="200"/>
        <w:rPr>
          <w:rFonts w:ascii="黑体" w:hAnsi="黑体" w:eastAsia="黑体" w:cs="黑体"/>
          <w:szCs w:val="32"/>
        </w:rPr>
      </w:pPr>
      <w:r>
        <w:rPr>
          <w:rFonts w:hint="eastAsia" w:ascii="黑体" w:hAnsi="黑体" w:eastAsia="黑体" w:cs="黑体"/>
          <w:szCs w:val="32"/>
        </w:rPr>
        <w:t>六、绩效评价结果应用建议</w:t>
      </w:r>
    </w:p>
    <w:p>
      <w:pPr>
        <w:topLinePunct/>
        <w:spacing w:line="560" w:lineRule="exact"/>
        <w:ind w:firstLine="594" w:firstLineChars="200"/>
        <w:rPr>
          <w:rFonts w:ascii="仿宋_GB2312" w:hAnsi="仿宋_GB2312" w:cs="仿宋_GB2312"/>
          <w:szCs w:val="32"/>
        </w:rPr>
      </w:pPr>
      <w:r>
        <w:rPr>
          <w:kern w:val="0"/>
          <w:szCs w:val="28"/>
        </w:rPr>
        <w:t>呈贡区段家营社区、郎家营社区赵家山村农田高效节水灌溉项目</w:t>
      </w:r>
      <w:r>
        <w:rPr>
          <w:rFonts w:hint="eastAsia" w:ascii="仿宋_GB2312" w:hAnsi="仿宋_GB2312" w:cs="仿宋_GB2312"/>
          <w:szCs w:val="32"/>
        </w:rPr>
        <w:t>是一项惠民工程，建议财政部门以后年度安排资金多做民生工作。</w:t>
      </w:r>
    </w:p>
    <w:p>
      <w:pPr>
        <w:pBdr>
          <w:bottom w:val="single" w:color="FFFFFF" w:sz="4" w:space="31"/>
        </w:pBdr>
        <w:spacing w:line="560" w:lineRule="exact"/>
        <w:ind w:firstLine="594" w:firstLineChars="200"/>
        <w:jc w:val="left"/>
        <w:rPr>
          <w:rFonts w:hint="eastAsia" w:ascii="黑体" w:hAnsi="黑体" w:eastAsia="黑体"/>
          <w:sz w:val="32"/>
          <w:szCs w:val="32"/>
        </w:rPr>
      </w:pPr>
      <w:r>
        <w:rPr>
          <w:rFonts w:hint="eastAsia" w:ascii="黑体" w:hAnsi="黑体" w:eastAsia="黑体"/>
          <w:sz w:val="32"/>
          <w:szCs w:val="32"/>
        </w:rPr>
        <w:t>七、主要经验及做法、存在的问题和建议</w:t>
      </w:r>
    </w:p>
    <w:p>
      <w:pPr>
        <w:pBdr>
          <w:bottom w:val="single" w:color="FFFFFF" w:sz="4" w:space="31"/>
        </w:pBdr>
        <w:spacing w:line="560" w:lineRule="exact"/>
        <w:ind w:firstLine="594" w:firstLineChars="200"/>
        <w:jc w:val="left"/>
        <w:rPr>
          <w:rFonts w:hint="eastAsia" w:ascii="仿宋_GB2312" w:hAnsi="仿宋_GB2312" w:cs="仿宋_GB2312"/>
          <w:szCs w:val="32"/>
        </w:rPr>
      </w:pPr>
      <w:r>
        <w:rPr>
          <w:rFonts w:hint="eastAsia" w:ascii="仿宋_GB2312" w:hAnsi="仿宋_GB2312" w:cs="仿宋_GB2312"/>
          <w:szCs w:val="32"/>
        </w:rPr>
        <w:t>绩效自评是一项开展不久的工作任务，项目支出运行实践经验还欠缺，还需不断完善。</w:t>
      </w:r>
    </w:p>
    <w:p>
      <w:pPr>
        <w:pBdr>
          <w:bottom w:val="single" w:color="FFFFFF" w:sz="4" w:space="31"/>
        </w:pBdr>
        <w:spacing w:line="560" w:lineRule="exact"/>
        <w:ind w:firstLine="594" w:firstLineChars="200"/>
        <w:jc w:val="left"/>
        <w:rPr>
          <w:rFonts w:hint="eastAsia" w:ascii="黑体" w:hAnsi="黑体" w:eastAsia="黑体"/>
          <w:sz w:val="32"/>
          <w:szCs w:val="32"/>
        </w:rPr>
      </w:pPr>
      <w:r>
        <w:rPr>
          <w:rFonts w:hint="eastAsia" w:ascii="黑体" w:hAnsi="黑体" w:eastAsia="黑体"/>
          <w:sz w:val="32"/>
          <w:szCs w:val="32"/>
        </w:rPr>
        <w:t>八、其他需要说明的问题</w:t>
      </w:r>
    </w:p>
    <w:p>
      <w:pPr>
        <w:pBdr>
          <w:bottom w:val="single" w:color="FFFFFF" w:sz="4" w:space="31"/>
        </w:pBdr>
        <w:spacing w:line="560" w:lineRule="exact"/>
        <w:ind w:firstLine="594" w:firstLineChars="200"/>
        <w:jc w:val="left"/>
        <w:rPr>
          <w:rFonts w:hint="eastAsia" w:ascii="仿宋_GB2312" w:eastAsia="仿宋_GB2312"/>
          <w:sz w:val="32"/>
          <w:szCs w:val="32"/>
        </w:rPr>
      </w:pPr>
      <w:r>
        <w:rPr>
          <w:rFonts w:hint="eastAsia" w:ascii="仿宋_GB2312" w:eastAsia="仿宋_GB2312"/>
          <w:sz w:val="32"/>
          <w:szCs w:val="32"/>
        </w:rPr>
        <w:t>无。</w:t>
      </w:r>
    </w:p>
    <w:p>
      <w:pPr>
        <w:pBdr>
          <w:bottom w:val="single" w:color="FFFFFF" w:sz="4" w:space="31"/>
        </w:pBdr>
        <w:spacing w:line="560" w:lineRule="exact"/>
        <w:ind w:firstLine="594" w:firstLineChars="200"/>
        <w:jc w:val="left"/>
        <w:rPr>
          <w:rFonts w:hint="eastAsia" w:ascii="仿宋_GB2312" w:hAnsi="仿宋_GB2312" w:cs="仿宋_GB2312"/>
          <w:szCs w:val="32"/>
          <w:lang w:val="en-US" w:eastAsia="zh-CN"/>
        </w:rPr>
      </w:pPr>
      <w:r>
        <w:rPr>
          <w:rFonts w:hint="eastAsia" w:ascii="仿宋_GB2312" w:hAnsi="仿宋_GB2312" w:cs="仿宋_GB2312"/>
          <w:szCs w:val="32"/>
        </w:rPr>
        <w:t xml:space="preserve">    </w:t>
      </w:r>
      <w:r>
        <w:rPr>
          <w:rFonts w:hint="eastAsia" w:ascii="仿宋_GB2312" w:hAnsi="仿宋_GB2312" w:cs="仿宋_GB2312"/>
          <w:szCs w:val="32"/>
          <w:lang w:val="en-US" w:eastAsia="zh-CN"/>
        </w:rPr>
        <w:t xml:space="preserve">                            吴家营街道办事处</w:t>
      </w:r>
    </w:p>
    <w:p>
      <w:pPr>
        <w:pBdr>
          <w:bottom w:val="single" w:color="FFFFFF" w:sz="4" w:space="31"/>
        </w:pBdr>
        <w:spacing w:line="560" w:lineRule="exact"/>
        <w:ind w:firstLine="594" w:firstLineChars="200"/>
        <w:jc w:val="left"/>
        <w:rPr>
          <w:rFonts w:hint="eastAsia"/>
          <w:lang w:val="en-US" w:eastAsia="zh-CN"/>
        </w:rPr>
      </w:pPr>
      <w:r>
        <w:rPr>
          <w:rFonts w:hint="eastAsia" w:ascii="仿宋_GB2312" w:hAnsi="仿宋_GB2312" w:cs="仿宋_GB2312"/>
          <w:szCs w:val="32"/>
          <w:lang w:val="en-US" w:eastAsia="zh-CN"/>
        </w:rPr>
        <w:t xml:space="preserve">                               2023年3月18日</w:t>
      </w:r>
      <w:r>
        <w:rPr>
          <w:rFonts w:hint="eastAsia" w:ascii="仿宋_GB2312" w:hAnsi="仿宋_GB2312" w:cs="仿宋_GB2312"/>
          <w:szCs w:val="32"/>
        </w:rPr>
        <w:t xml:space="preserve">  </w:t>
      </w:r>
    </w:p>
    <w:sectPr>
      <w:pgSz w:w="11906" w:h="16838"/>
      <w:pgMar w:top="1984" w:right="1531" w:bottom="1984" w:left="1531"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02294"/>
    <w:multiLevelType w:val="singleLevel"/>
    <w:tmpl w:val="B28022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92E"/>
    <w:rsid w:val="00040A96"/>
    <w:rsid w:val="00082482"/>
    <w:rsid w:val="000928B2"/>
    <w:rsid w:val="000C08B7"/>
    <w:rsid w:val="000E2C54"/>
    <w:rsid w:val="000E77D8"/>
    <w:rsid w:val="00146F77"/>
    <w:rsid w:val="00171233"/>
    <w:rsid w:val="001851A1"/>
    <w:rsid w:val="001A57B7"/>
    <w:rsid w:val="00242B1D"/>
    <w:rsid w:val="00270638"/>
    <w:rsid w:val="002A2504"/>
    <w:rsid w:val="00316E67"/>
    <w:rsid w:val="003306F7"/>
    <w:rsid w:val="003477AA"/>
    <w:rsid w:val="0035470B"/>
    <w:rsid w:val="0038743B"/>
    <w:rsid w:val="003E29B8"/>
    <w:rsid w:val="003F630B"/>
    <w:rsid w:val="00447399"/>
    <w:rsid w:val="005A2977"/>
    <w:rsid w:val="006152F7"/>
    <w:rsid w:val="0063041D"/>
    <w:rsid w:val="0063311B"/>
    <w:rsid w:val="00702060"/>
    <w:rsid w:val="00712EE2"/>
    <w:rsid w:val="0072632C"/>
    <w:rsid w:val="007824E7"/>
    <w:rsid w:val="00800975"/>
    <w:rsid w:val="00836366"/>
    <w:rsid w:val="00846A81"/>
    <w:rsid w:val="00897B62"/>
    <w:rsid w:val="00956B7E"/>
    <w:rsid w:val="00973B1C"/>
    <w:rsid w:val="00974866"/>
    <w:rsid w:val="009B2D08"/>
    <w:rsid w:val="009C7801"/>
    <w:rsid w:val="00A7295E"/>
    <w:rsid w:val="00A8068D"/>
    <w:rsid w:val="00A9173A"/>
    <w:rsid w:val="00AA521A"/>
    <w:rsid w:val="00AC4FCA"/>
    <w:rsid w:val="00AF3F8C"/>
    <w:rsid w:val="00B1092E"/>
    <w:rsid w:val="00B4214E"/>
    <w:rsid w:val="00B91E8D"/>
    <w:rsid w:val="00BA0866"/>
    <w:rsid w:val="00BB6BE4"/>
    <w:rsid w:val="00C242E5"/>
    <w:rsid w:val="00C370BF"/>
    <w:rsid w:val="00CB3FF0"/>
    <w:rsid w:val="00D11426"/>
    <w:rsid w:val="00D4787C"/>
    <w:rsid w:val="00D75D7A"/>
    <w:rsid w:val="00DD7928"/>
    <w:rsid w:val="00E3391D"/>
    <w:rsid w:val="00E37563"/>
    <w:rsid w:val="00EA11D5"/>
    <w:rsid w:val="00EC38AA"/>
    <w:rsid w:val="00EE1F11"/>
    <w:rsid w:val="00EF4AA7"/>
    <w:rsid w:val="00EF4C13"/>
    <w:rsid w:val="00EF6C7E"/>
    <w:rsid w:val="00F91CC6"/>
    <w:rsid w:val="00FB4D0E"/>
    <w:rsid w:val="00FE349A"/>
    <w:rsid w:val="025D1243"/>
    <w:rsid w:val="02FB26AE"/>
    <w:rsid w:val="05AE36CA"/>
    <w:rsid w:val="07F854A3"/>
    <w:rsid w:val="0C635D44"/>
    <w:rsid w:val="0CD77A8D"/>
    <w:rsid w:val="0EB64C95"/>
    <w:rsid w:val="10571A85"/>
    <w:rsid w:val="11F20FA3"/>
    <w:rsid w:val="144E2531"/>
    <w:rsid w:val="1AF06A87"/>
    <w:rsid w:val="1BA362A3"/>
    <w:rsid w:val="1D3F0E65"/>
    <w:rsid w:val="21FE09A9"/>
    <w:rsid w:val="23684123"/>
    <w:rsid w:val="25574556"/>
    <w:rsid w:val="29685926"/>
    <w:rsid w:val="2BD05752"/>
    <w:rsid w:val="2EB12DCC"/>
    <w:rsid w:val="3391199D"/>
    <w:rsid w:val="378A5996"/>
    <w:rsid w:val="3E005C67"/>
    <w:rsid w:val="3E5517F8"/>
    <w:rsid w:val="3F0146D4"/>
    <w:rsid w:val="3F7557FA"/>
    <w:rsid w:val="427A6EE2"/>
    <w:rsid w:val="45302FA6"/>
    <w:rsid w:val="4C4F455B"/>
    <w:rsid w:val="502C7886"/>
    <w:rsid w:val="53C07319"/>
    <w:rsid w:val="54606727"/>
    <w:rsid w:val="54B70991"/>
    <w:rsid w:val="559809D3"/>
    <w:rsid w:val="574F0690"/>
    <w:rsid w:val="5A3C6978"/>
    <w:rsid w:val="5B6F59C3"/>
    <w:rsid w:val="5DD01944"/>
    <w:rsid w:val="5F4A191C"/>
    <w:rsid w:val="62D60779"/>
    <w:rsid w:val="67600811"/>
    <w:rsid w:val="67A762ED"/>
    <w:rsid w:val="6CF31D2A"/>
    <w:rsid w:val="6D542B2B"/>
    <w:rsid w:val="76797E4E"/>
    <w:rsid w:val="7AF15F1E"/>
    <w:rsid w:val="7BAB09EB"/>
    <w:rsid w:val="7E2E08D3"/>
    <w:rsid w:val="7E9B55A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link w:val="12"/>
    <w:qFormat/>
    <w:locked/>
    <w:uiPriority w:val="99"/>
    <w:pPr>
      <w:keepNext/>
      <w:keepLines/>
      <w:widowControl/>
      <w:overflowPunct w:val="0"/>
      <w:autoSpaceDE w:val="0"/>
      <w:autoSpaceDN w:val="0"/>
      <w:adjustRightInd w:val="0"/>
      <w:spacing w:before="340" w:after="330" w:line="578" w:lineRule="auto"/>
      <w:outlineLvl w:val="0"/>
    </w:pPr>
    <w:rPr>
      <w:rFonts w:ascii="Times New Roman" w:hAnsi="Times New Roman" w:eastAsia="宋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1 Char"/>
    <w:basedOn w:val="7"/>
    <w:link w:val="3"/>
    <w:qFormat/>
    <w:locked/>
    <w:uiPriority w:val="99"/>
    <w:rPr>
      <w:rFonts w:eastAsia="仿宋_GB2312" w:cs="Times New Roman"/>
      <w:b/>
      <w:bCs/>
      <w:kern w:val="44"/>
      <w:sz w:val="44"/>
      <w:szCs w:val="44"/>
    </w:rPr>
  </w:style>
  <w:style w:type="character" w:customStyle="1" w:styleId="9">
    <w:name w:val="页眉 Char"/>
    <w:basedOn w:val="7"/>
    <w:link w:val="5"/>
    <w:qFormat/>
    <w:locked/>
    <w:uiPriority w:val="99"/>
    <w:rPr>
      <w:rFonts w:eastAsia="仿宋_GB2312" w:cs="Times New Roman"/>
      <w:kern w:val="2"/>
      <w:sz w:val="18"/>
      <w:szCs w:val="18"/>
    </w:rPr>
  </w:style>
  <w:style w:type="character" w:customStyle="1" w:styleId="10">
    <w:name w:val="页脚 Char"/>
    <w:basedOn w:val="7"/>
    <w:link w:val="4"/>
    <w:qFormat/>
    <w:locked/>
    <w:uiPriority w:val="99"/>
    <w:rPr>
      <w:rFonts w:eastAsia="仿宋_GB2312" w:cs="Times New Roman"/>
      <w:kern w:val="2"/>
      <w:sz w:val="18"/>
      <w:szCs w:val="18"/>
    </w:rPr>
  </w:style>
  <w:style w:type="paragraph" w:customStyle="1" w:styleId="11">
    <w:name w:val="列出段落1"/>
    <w:basedOn w:val="1"/>
    <w:qFormat/>
    <w:uiPriority w:val="99"/>
    <w:pPr>
      <w:ind w:firstLine="420" w:firstLineChars="200"/>
    </w:pPr>
    <w:rPr>
      <w:rFonts w:eastAsia="宋体"/>
      <w:sz w:val="21"/>
    </w:rPr>
  </w:style>
  <w:style w:type="character" w:customStyle="1" w:styleId="12">
    <w:name w:val="标题 1 Char"/>
    <w:basedOn w:val="7"/>
    <w:link w:val="3"/>
    <w:qFormat/>
    <w:locked/>
    <w:uiPriority w:val="99"/>
    <w:rPr>
      <w:rFonts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264</Words>
  <Characters>1511</Characters>
  <Lines>12</Lines>
  <Paragraphs>3</Paragraphs>
  <TotalTime>14</TotalTime>
  <ScaleCrop>false</ScaleCrop>
  <LinksUpToDate>false</LinksUpToDate>
  <CharactersWithSpaces>1772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2018-04-01T01:48:00Z</dcterms:created>
  <dc:creator>jyjcg</dc:creator>
  <cp:lastModifiedBy>Administrator</cp:lastModifiedBy>
  <dcterms:modified xsi:type="dcterms:W3CDTF">2023-04-04T09:40:57Z</dcterms:modified>
  <dc:title>项目支出绩效报告（自评）</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