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rPr>
        <w:t>城市社区工作经费项目支出绩效</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评价报告</w:t>
      </w:r>
    </w:p>
    <w:p>
      <w:pPr>
        <w:topLinePunct/>
        <w:ind w:firstLine="594" w:firstLineChars="200"/>
        <w:outlineLvl w:val="0"/>
        <w:rPr>
          <w:rFonts w:ascii="黑体" w:eastAsia="黑体"/>
          <w:szCs w:val="32"/>
        </w:rPr>
      </w:pPr>
      <w:r>
        <w:rPr>
          <w:rFonts w:hint="eastAsia" w:ascii="黑体" w:eastAsia="黑体"/>
          <w:szCs w:val="32"/>
        </w:rPr>
        <w:t>一、基本情况</w:t>
      </w:r>
    </w:p>
    <w:p>
      <w:pPr>
        <w:topLinePunct/>
        <w:ind w:firstLine="594" w:firstLineChars="200"/>
        <w:rPr>
          <w:rFonts w:ascii="楷体_GB2312" w:eastAsia="楷体_GB2312"/>
          <w:szCs w:val="32"/>
        </w:rPr>
      </w:pPr>
      <w:r>
        <w:rPr>
          <w:rFonts w:hint="eastAsia" w:ascii="楷体_GB2312" w:eastAsia="楷体_GB2312"/>
          <w:szCs w:val="32"/>
        </w:rPr>
        <w:t>（一）项目概况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吴家营街道办事处辖区总面积56.39平方公里，辖区总人口约</w:t>
      </w:r>
      <w:r>
        <w:rPr>
          <w:rFonts w:hint="eastAsia" w:ascii="仿宋_GB2312" w:hAnsi="仿宋_GB2312" w:eastAsia="仿宋_GB2312" w:cs="仿宋_GB2312"/>
          <w:szCs w:val="32"/>
          <w:lang w:val="en-US" w:eastAsia="zh-CN"/>
        </w:rPr>
        <w:t>19.69</w:t>
      </w:r>
      <w:r>
        <w:rPr>
          <w:rFonts w:hint="eastAsia" w:ascii="仿宋_GB2312" w:hAnsi="仿宋_GB2312" w:eastAsia="仿宋_GB2312" w:cs="仿宋_GB2312"/>
          <w:szCs w:val="32"/>
        </w:rPr>
        <w:t>万人。随着呈贡新区城市化进程的不断加快，辖区内已新增高校教职工住宅小区雨花毓秀、书香大地、实力锦城、天水嘉园，博晖雅苑、涌鑫哈佛中心及博鼎第七街区等商住小区，以及云南大学、昆明理工大学、云南师范大学、云南民族大学、西南联大研究院附属学校、雨花公交车场等10多家公共单位。城市社区工作经费主要用于20</w:t>
      </w:r>
      <w:r>
        <w:rPr>
          <w:rFonts w:hint="eastAsia" w:ascii="仿宋_GB2312" w:hAnsi="仿宋_GB2312" w:eastAsia="仿宋_GB2312" w:cs="仿宋_GB2312"/>
          <w:szCs w:val="32"/>
          <w:lang w:val="en-US" w:eastAsia="zh-CN"/>
        </w:rPr>
        <w:t>22</w:t>
      </w:r>
      <w:r>
        <w:rPr>
          <w:rFonts w:hint="eastAsia" w:ascii="仿宋_GB2312" w:hAnsi="仿宋_GB2312" w:eastAsia="仿宋_GB2312" w:cs="仿宋_GB2312"/>
          <w:szCs w:val="32"/>
        </w:rPr>
        <w:t>年</w:t>
      </w:r>
      <w:r>
        <w:rPr>
          <w:rFonts w:hint="eastAsia" w:ascii="仿宋_GB2312" w:hAnsi="仿宋_GB2312" w:eastAsia="仿宋_GB2312" w:cs="仿宋_GB2312"/>
          <w:color w:val="auto"/>
          <w:sz w:val="32"/>
          <w:szCs w:val="32"/>
          <w:lang w:val="en-US" w:eastAsia="zh-CN"/>
        </w:rPr>
        <w:t>毓和、致远、万青三个</w:t>
      </w:r>
      <w:r>
        <w:rPr>
          <w:rFonts w:hint="eastAsia" w:ascii="仿宋_GB2312" w:hAnsi="仿宋_GB2312" w:eastAsia="仿宋_GB2312" w:cs="仿宋_GB2312"/>
          <w:szCs w:val="32"/>
        </w:rPr>
        <w:t>城市社区</w:t>
      </w:r>
      <w:r>
        <w:rPr>
          <w:rFonts w:hint="eastAsia" w:ascii="仿宋_GB2312" w:hAnsi="仿宋_GB2312" w:eastAsia="仿宋_GB2312" w:cs="仿宋_GB2312"/>
          <w:szCs w:val="32"/>
          <w:lang w:val="en-US" w:eastAsia="zh-CN"/>
        </w:rPr>
        <w:t>经费项目支出</w:t>
      </w:r>
      <w:r>
        <w:rPr>
          <w:rFonts w:hint="eastAsia" w:ascii="仿宋_GB2312" w:hAnsi="仿宋_GB2312" w:eastAsia="仿宋_GB2312" w:cs="仿宋_GB2312"/>
          <w:szCs w:val="32"/>
        </w:rPr>
        <w:t>工作。</w:t>
      </w:r>
    </w:p>
    <w:p>
      <w:pPr>
        <w:topLinePunct/>
        <w:ind w:firstLine="594" w:firstLineChars="200"/>
        <w:rPr>
          <w:rFonts w:ascii="楷体_GB2312" w:eastAsia="楷体_GB2312"/>
          <w:szCs w:val="32"/>
        </w:rPr>
      </w:pPr>
      <w:r>
        <w:rPr>
          <w:rFonts w:hint="eastAsia" w:ascii="楷体_GB2312" w:eastAsia="楷体_GB2312"/>
          <w:szCs w:val="32"/>
        </w:rPr>
        <w:t>（二）项目绩效目标</w:t>
      </w:r>
    </w:p>
    <w:p>
      <w:pPr>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按照区委、区政府的工作按排，根据《呈贡区民政局呈贡区委组织部关于印发〈呈贡区城市社区设置指导意见〉的通知》（呈民联发〔2016〕1号）文件精神，</w:t>
      </w:r>
      <w:r>
        <w:rPr>
          <w:rFonts w:hint="eastAsia" w:ascii="仿宋_GB2312" w:hAnsi="仿宋_GB2312" w:eastAsia="仿宋_GB2312" w:cs="仿宋_GB2312"/>
          <w:szCs w:val="32"/>
          <w:lang w:val="en-US" w:eastAsia="zh-CN"/>
        </w:rPr>
        <w:t>推动基层民主政治建设，加强基层服务和能力建设，</w:t>
      </w:r>
      <w:r>
        <w:rPr>
          <w:rFonts w:hint="eastAsia" w:ascii="仿宋_GB2312" w:hAnsi="仿宋_GB2312" w:eastAsia="仿宋_GB2312" w:cs="仿宋_GB2312"/>
          <w:color w:val="000000"/>
          <w:kern w:val="0"/>
          <w:sz w:val="32"/>
          <w:szCs w:val="32"/>
          <w:lang w:val="en-US" w:eastAsia="zh-CN"/>
        </w:rPr>
        <w:t>强化</w:t>
      </w:r>
      <w:r>
        <w:rPr>
          <w:rFonts w:hint="eastAsia" w:ascii="仿宋_GB2312" w:hAnsi="仿宋_GB2312" w:eastAsia="仿宋_GB2312" w:cs="仿宋_GB2312"/>
          <w:color w:val="000000"/>
          <w:kern w:val="0"/>
          <w:sz w:val="32"/>
          <w:szCs w:val="32"/>
        </w:rPr>
        <w:t>城市规划、建设等相关法律法规，不断提高政策水平和业务能力。</w:t>
      </w:r>
      <w:r>
        <w:rPr>
          <w:rFonts w:hint="eastAsia" w:ascii="仿宋_GB2312" w:hAnsi="仿宋_GB2312" w:eastAsia="仿宋_GB2312" w:cs="仿宋_GB2312"/>
          <w:sz w:val="32"/>
          <w:szCs w:val="32"/>
          <w:lang w:eastAsia="zh-CN"/>
        </w:rPr>
        <w:t>深入居民走访了解情况，充分调动和发挥居民骨干的作用，积极完成各项任务，为规范社区工作奠定了良好的基础。</w:t>
      </w:r>
    </w:p>
    <w:p>
      <w:pPr>
        <w:topLinePunct/>
        <w:spacing w:line="560" w:lineRule="exact"/>
        <w:ind w:firstLine="594" w:firstLineChars="200"/>
        <w:rPr>
          <w:rFonts w:ascii="黑体" w:hAnsi="黑体" w:eastAsia="黑体"/>
          <w:szCs w:val="32"/>
        </w:rPr>
      </w:pPr>
      <w:r>
        <w:rPr>
          <w:rFonts w:hint="eastAsia" w:ascii="黑体" w:hAnsi="黑体" w:eastAsia="黑体"/>
          <w:szCs w:val="32"/>
        </w:rPr>
        <w:t>二、项目单位绩效报告情况</w:t>
      </w:r>
    </w:p>
    <w:p>
      <w:pPr>
        <w:topLinePunct/>
        <w:spacing w:line="560" w:lineRule="exa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highlight w:val="none"/>
          <w:lang w:val="en-US" w:eastAsia="zh-CN"/>
        </w:rPr>
        <w:t>城市社区经费</w:t>
      </w:r>
      <w:r>
        <w:rPr>
          <w:rFonts w:hint="eastAsia" w:ascii="仿宋_GB2312" w:hAnsi="仿宋_GB2312" w:eastAsia="仿宋_GB2312" w:cs="仿宋_GB2312"/>
          <w:color w:val="auto"/>
          <w:kern w:val="2"/>
          <w:sz w:val="32"/>
          <w:szCs w:val="32"/>
          <w:highlight w:val="none"/>
          <w:shd w:val="clear" w:color="auto" w:fill="FFFFFF"/>
          <w:lang w:val="en-US" w:eastAsia="zh-CN" w:bidi="ar-SA"/>
        </w:rPr>
        <w:t>82</w:t>
      </w:r>
      <w:r>
        <w:rPr>
          <w:rFonts w:hint="eastAsia" w:ascii="仿宋_GB2312" w:hAnsi="仿宋_GB2312" w:eastAsia="仿宋_GB2312" w:cs="仿宋_GB2312"/>
          <w:szCs w:val="32"/>
          <w:highlight w:val="none"/>
          <w:lang w:val="en-US" w:eastAsia="zh-CN"/>
        </w:rPr>
        <w:t>万</w:t>
      </w:r>
      <w:r>
        <w:rPr>
          <w:rFonts w:hint="eastAsia" w:ascii="仿宋_GB2312" w:hAnsi="仿宋_GB2312" w:eastAsia="仿宋_GB2312" w:cs="仿宋_GB2312"/>
          <w:color w:val="auto"/>
          <w:kern w:val="2"/>
          <w:sz w:val="32"/>
          <w:szCs w:val="32"/>
          <w:highlight w:val="none"/>
          <w:shd w:val="clear" w:color="auto" w:fill="FFFFFF"/>
          <w:lang w:val="en-US" w:eastAsia="zh-CN" w:bidi="ar-SA"/>
        </w:rPr>
        <w:t>元</w:t>
      </w:r>
      <w:r>
        <w:rPr>
          <w:rFonts w:hint="eastAsia" w:ascii="仿宋_GB2312" w:hAnsi="仿宋_GB2312" w:eastAsia="仿宋_GB2312" w:cs="仿宋_GB2312"/>
          <w:color w:val="auto"/>
          <w:kern w:val="2"/>
          <w:sz w:val="32"/>
          <w:szCs w:val="32"/>
          <w:shd w:val="clear" w:color="auto" w:fill="FFFFFF"/>
          <w:lang w:val="en-US" w:eastAsia="zh-CN" w:bidi="ar-SA"/>
        </w:rPr>
        <w:t>，</w:t>
      </w:r>
      <w:r>
        <w:rPr>
          <w:rFonts w:hint="eastAsia" w:ascii="仿宋_GB2312" w:hAnsi="仿宋_GB2312" w:eastAsia="仿宋_GB2312" w:cs="仿宋_GB2312"/>
          <w:szCs w:val="32"/>
        </w:rPr>
        <w:t xml:space="preserve"> 项目单位建立健全项目实施预算方案、财务管理制度和会计核算制度，此次绩效评价过程中未发现有截留、挤占或挪用项目资金的情况。</w:t>
      </w:r>
    </w:p>
    <w:p>
      <w:pPr>
        <w:topLinePunct/>
        <w:spacing w:line="560" w:lineRule="exact"/>
        <w:ind w:firstLine="594" w:firstLineChars="200"/>
        <w:rPr>
          <w:rFonts w:ascii="黑体" w:eastAsia="黑体"/>
          <w:szCs w:val="32"/>
        </w:rPr>
      </w:pPr>
      <w:r>
        <w:rPr>
          <w:rFonts w:hint="eastAsia" w:ascii="黑体" w:eastAsia="黑体"/>
          <w:szCs w:val="32"/>
        </w:rPr>
        <w:t>三、绩效评价工作情况</w:t>
      </w:r>
    </w:p>
    <w:p>
      <w:pPr>
        <w:spacing w:line="560" w:lineRule="exact"/>
        <w:ind w:left="567"/>
        <w:jc w:val="left"/>
        <w:rPr>
          <w:rFonts w:ascii="楷体_GB2312" w:hAnsi="Gulim" w:eastAsia="楷体_GB2312" w:cs="宋体"/>
          <w:color w:val="000000"/>
          <w:kern w:val="0"/>
          <w:szCs w:val="32"/>
        </w:rPr>
      </w:pPr>
      <w:r>
        <w:rPr>
          <w:rFonts w:hint="eastAsia" w:ascii="楷体_GB2312" w:hAnsi="Gulim" w:eastAsia="楷体_GB2312" w:cs="宋体"/>
          <w:color w:val="000000"/>
          <w:szCs w:val="32"/>
        </w:rPr>
        <w:t>（一）</w:t>
      </w:r>
      <w:r>
        <w:rPr>
          <w:rFonts w:hint="eastAsia" w:ascii="楷体_GB2312" w:hAnsi="楷体" w:eastAsia="楷体_GB2312" w:cs="宋体"/>
          <w:color w:val="000000"/>
          <w:kern w:val="0"/>
          <w:szCs w:val="32"/>
        </w:rPr>
        <w:t>绩</w:t>
      </w:r>
      <w:r>
        <w:rPr>
          <w:rFonts w:hint="eastAsia" w:ascii="楷体_GB2312" w:hAnsi="Gulim" w:eastAsia="楷体_GB2312" w:cs="宋体"/>
          <w:color w:val="000000"/>
          <w:kern w:val="0"/>
          <w:szCs w:val="32"/>
        </w:rPr>
        <w:t>效</w:t>
      </w:r>
      <w:r>
        <w:rPr>
          <w:rFonts w:hint="eastAsia" w:ascii="楷体_GB2312" w:hAnsi="楷体" w:eastAsia="楷体_GB2312" w:cs="宋体"/>
          <w:color w:val="000000"/>
          <w:kern w:val="0"/>
          <w:szCs w:val="32"/>
        </w:rPr>
        <w:t>评</w:t>
      </w:r>
      <w:r>
        <w:rPr>
          <w:rFonts w:hint="eastAsia" w:ascii="楷体_GB2312" w:hAnsi="Gulim" w:eastAsia="楷体_GB2312" w:cs="宋体"/>
          <w:color w:val="000000"/>
          <w:kern w:val="0"/>
          <w:szCs w:val="32"/>
        </w:rPr>
        <w:t>价目的</w:t>
      </w:r>
    </w:p>
    <w:p>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rPr>
        <w:t>城市社区工作经费项目支出绩效评价是为了加强财政支出管理，提高财政资金使用效益</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通过开展绩效评价，促进</w:t>
      </w:r>
      <w:r>
        <w:rPr>
          <w:rFonts w:hint="eastAsia" w:ascii="仿宋_GB2312" w:hAnsi="仿宋_GB2312" w:eastAsia="仿宋_GB2312" w:cs="仿宋_GB2312"/>
          <w:szCs w:val="32"/>
          <w:lang w:val="en-US" w:eastAsia="zh-CN"/>
        </w:rPr>
        <w:t>街道办事处</w:t>
      </w:r>
      <w:r>
        <w:rPr>
          <w:rFonts w:hint="eastAsia" w:ascii="仿宋_GB2312" w:hAnsi="仿宋_GB2312" w:eastAsia="仿宋_GB2312" w:cs="仿宋_GB2312"/>
          <w:szCs w:val="32"/>
        </w:rPr>
        <w:t>从整体上提升预算绩效管理工作水平，发挥财政资金对新建城市社区工作经费项目的支持作用，规范资金管理行为，提高财政资金使用效益，保障</w:t>
      </w:r>
      <w:r>
        <w:rPr>
          <w:rFonts w:hint="eastAsia" w:ascii="仿宋_GB2312" w:hAnsi="仿宋_GB2312" w:eastAsia="仿宋_GB2312" w:cs="仿宋_GB2312"/>
          <w:szCs w:val="32"/>
          <w:lang w:val="en-US" w:eastAsia="zh-CN"/>
        </w:rPr>
        <w:t>街道办事处</w:t>
      </w:r>
      <w:r>
        <w:rPr>
          <w:rFonts w:hint="eastAsia" w:ascii="仿宋_GB2312" w:hAnsi="仿宋_GB2312" w:eastAsia="仿宋_GB2312" w:cs="仿宋_GB2312"/>
          <w:szCs w:val="32"/>
        </w:rPr>
        <w:t>更好地履行职责。</w:t>
      </w:r>
    </w:p>
    <w:p>
      <w:pPr>
        <w:spacing w:line="560" w:lineRule="exact"/>
        <w:ind w:firstLine="594" w:firstLineChars="200"/>
        <w:rPr>
          <w:rStyle w:val="12"/>
          <w:rFonts w:ascii="楷体_GB2312" w:hAnsi="楷体" w:eastAsia="楷体_GB2312" w:cs="黑体"/>
          <w:b w:val="0"/>
          <w:sz w:val="32"/>
          <w:szCs w:val="32"/>
        </w:rPr>
      </w:pPr>
      <w:r>
        <w:rPr>
          <w:rStyle w:val="12"/>
          <w:rFonts w:hint="eastAsia" w:ascii="楷体_GB2312" w:hAnsi="楷体" w:eastAsia="楷体_GB2312" w:cs="黑体"/>
          <w:b w:val="0"/>
          <w:sz w:val="32"/>
          <w:szCs w:val="32"/>
        </w:rPr>
        <w:t>（二）绩效评价的原则、评价指标体系、评价方法</w:t>
      </w:r>
    </w:p>
    <w:p>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rPr>
        <w:t>根据呈贡区财政局《呈贡区财政局关于印发&lt;呈贡区财政性资金部门支出绩效操作规程&gt;的通知》(呈财〔2017〕115号)等相关文件要求，</w:t>
      </w:r>
      <w:r>
        <w:rPr>
          <w:rFonts w:hint="eastAsia" w:ascii="仿宋_GB2312" w:hAnsi="仿宋_GB2312" w:eastAsia="仿宋_GB2312" w:cs="仿宋_GB2312"/>
          <w:szCs w:val="32"/>
          <w:lang w:eastAsia="zh-CN"/>
        </w:rPr>
        <w:t>吴家营</w:t>
      </w:r>
      <w:r>
        <w:rPr>
          <w:rFonts w:hint="eastAsia" w:ascii="仿宋_GB2312" w:hAnsi="仿宋_GB2312" w:eastAsia="仿宋_GB2312" w:cs="仿宋_GB2312"/>
          <w:szCs w:val="32"/>
        </w:rPr>
        <w:t>街道办事处对该项目开展绩效评价工作。</w:t>
      </w:r>
    </w:p>
    <w:p>
      <w:pPr>
        <w:spacing w:line="560" w:lineRule="exact"/>
        <w:ind w:firstLine="594" w:firstLineChars="200"/>
        <w:rPr>
          <w:rStyle w:val="12"/>
          <w:rFonts w:ascii="楷体_GB2312" w:hAnsi="楷体" w:eastAsia="楷体_GB2312" w:cs="黑体"/>
          <w:b w:val="0"/>
          <w:sz w:val="32"/>
          <w:szCs w:val="32"/>
        </w:rPr>
      </w:pPr>
      <w:r>
        <w:rPr>
          <w:rStyle w:val="12"/>
          <w:rFonts w:hint="eastAsia" w:ascii="楷体_GB2312" w:hAnsi="楷体" w:eastAsia="楷体_GB2312" w:cs="黑体"/>
          <w:b w:val="0"/>
          <w:sz w:val="32"/>
          <w:szCs w:val="32"/>
        </w:rPr>
        <w:t>（三）绩效评价工作过程</w:t>
      </w:r>
    </w:p>
    <w:p>
      <w:pPr>
        <w:spacing w:line="560" w:lineRule="exact"/>
        <w:ind w:firstLine="594" w:firstLineChars="200"/>
        <w:textAlignment w:val="center"/>
        <w:rPr>
          <w:rStyle w:val="12"/>
          <w:rFonts w:hint="eastAsia" w:ascii="仿宋_GB2312" w:hAnsi="仿宋_GB2312" w:eastAsia="仿宋_GB2312" w:cs="仿宋_GB2312"/>
          <w:b w:val="0"/>
          <w:sz w:val="32"/>
          <w:szCs w:val="32"/>
        </w:rPr>
      </w:pPr>
      <w:r>
        <w:rPr>
          <w:rFonts w:hint="eastAsia" w:ascii="仿宋_GB2312" w:hAnsi="仿宋_GB2312" w:eastAsia="仿宋_GB2312" w:cs="仿宋_GB2312"/>
          <w:b w:val="0"/>
          <w:bCs/>
          <w:szCs w:val="32"/>
          <w:highlight w:val="none"/>
        </w:rPr>
        <w:t>街道认真对照20</w:t>
      </w:r>
      <w:r>
        <w:rPr>
          <w:rFonts w:hint="eastAsia" w:ascii="仿宋_GB2312" w:hAnsi="仿宋_GB2312" w:eastAsia="仿宋_GB2312" w:cs="仿宋_GB2312"/>
          <w:b w:val="0"/>
          <w:bCs/>
          <w:szCs w:val="32"/>
          <w:highlight w:val="none"/>
          <w:lang w:val="en-US" w:eastAsia="zh-CN"/>
        </w:rPr>
        <w:t>22</w:t>
      </w:r>
      <w:r>
        <w:rPr>
          <w:rFonts w:hint="eastAsia" w:ascii="仿宋_GB2312" w:hAnsi="仿宋_GB2312" w:eastAsia="仿宋_GB2312" w:cs="仿宋_GB2312"/>
          <w:b w:val="0"/>
          <w:bCs/>
          <w:szCs w:val="32"/>
          <w:highlight w:val="none"/>
        </w:rPr>
        <w:t>年部门</w:t>
      </w:r>
      <w:r>
        <w:rPr>
          <w:rFonts w:hint="eastAsia" w:ascii="仿宋_GB2312" w:hAnsi="仿宋_GB2312" w:eastAsia="仿宋_GB2312" w:cs="仿宋_GB2312"/>
          <w:b w:val="0"/>
          <w:bCs/>
          <w:szCs w:val="32"/>
          <w:highlight w:val="none"/>
          <w:lang w:eastAsia="zh-CN"/>
        </w:rPr>
        <w:t>项目</w:t>
      </w:r>
      <w:r>
        <w:rPr>
          <w:rFonts w:hint="eastAsia" w:ascii="仿宋_GB2312" w:hAnsi="仿宋_GB2312" w:eastAsia="仿宋_GB2312" w:cs="仿宋_GB2312"/>
          <w:b w:val="0"/>
          <w:bCs/>
          <w:szCs w:val="32"/>
          <w:highlight w:val="none"/>
        </w:rPr>
        <w:t>支出绩效自评指标的相关说明组织开展绩效评价工作。</w:t>
      </w:r>
      <w:r>
        <w:rPr>
          <w:rStyle w:val="12"/>
          <w:rFonts w:hint="eastAsia" w:ascii="仿宋_GB2312" w:hAnsi="仿宋_GB2312" w:eastAsia="仿宋_GB2312" w:cs="仿宋_GB2312"/>
          <w:b w:val="0"/>
          <w:sz w:val="32"/>
          <w:szCs w:val="32"/>
        </w:rPr>
        <w:t>街道成立绩效评价工作小组，负责对绩效评价工作的组织领导和具体实施，做好绩效评价的前期准备工作，主要包括拟定绩效评价方案，选取合适的绩效评价方式，设计绩效评价指标体系等。绩效评价小组按上级相关部门要求开展工作，保证工作按时完成。</w:t>
      </w:r>
    </w:p>
    <w:p>
      <w:pPr>
        <w:topLinePunct/>
        <w:spacing w:line="560" w:lineRule="exact"/>
        <w:ind w:firstLine="594" w:firstLineChars="200"/>
        <w:rPr>
          <w:rFonts w:ascii="黑体" w:hAnsi="黑体" w:eastAsia="黑体"/>
          <w:szCs w:val="32"/>
        </w:rPr>
      </w:pPr>
      <w:r>
        <w:rPr>
          <w:rFonts w:hint="eastAsia" w:ascii="黑体" w:hAnsi="黑体" w:eastAsia="黑体"/>
          <w:szCs w:val="32"/>
        </w:rPr>
        <w:t>四、绩效评价指标分析情况</w:t>
      </w:r>
    </w:p>
    <w:p>
      <w:pPr>
        <w:topLinePunct/>
        <w:ind w:firstLine="594" w:firstLineChars="200"/>
        <w:outlineLvl w:val="0"/>
        <w:rPr>
          <w:rFonts w:ascii="楷体_GB2312" w:eastAsia="楷体_GB2312"/>
          <w:szCs w:val="32"/>
        </w:rPr>
      </w:pPr>
      <w:r>
        <w:rPr>
          <w:rFonts w:hint="eastAsia" w:ascii="楷体_GB2312" w:eastAsia="楷体_GB2312"/>
          <w:szCs w:val="32"/>
        </w:rPr>
        <w:t>（一）项目资金情况分析</w:t>
      </w:r>
    </w:p>
    <w:p>
      <w:pPr>
        <w:topLinePunct/>
        <w:ind w:firstLine="594" w:firstLineChars="200"/>
        <w:rPr>
          <w:rFonts w:ascii="仿宋_GB2312" w:cs="仿宋_GB2312"/>
          <w:szCs w:val="32"/>
        </w:rPr>
      </w:pPr>
      <w:r>
        <w:rPr>
          <w:rFonts w:ascii="仿宋_GB2312" w:hAnsi="仿宋_GB2312" w:cs="仿宋_GB2312"/>
          <w:szCs w:val="32"/>
        </w:rPr>
        <w:t>1</w:t>
      </w:r>
      <w:r>
        <w:rPr>
          <w:rFonts w:hint="eastAsia" w:ascii="仿宋_GB2312" w:hAnsi="仿宋_GB2312" w:cs="仿宋_GB2312"/>
          <w:szCs w:val="32"/>
        </w:rPr>
        <w:t>、资金到位情况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城市社区项目资金为公共财政预算资金安排落实，资金预算依据《昆明市呈贡区人民政府关于印发〈呈贡区城市社区经费管理实施办法（试行）的通知〉（呈政发〔2017〕55号）》文件精神，总申请预算资金为</w:t>
      </w:r>
      <w:r>
        <w:rPr>
          <w:rFonts w:hint="eastAsia" w:ascii="仿宋_GB2312" w:hAnsi="仿宋_GB2312" w:eastAsia="仿宋_GB2312" w:cs="仿宋_GB2312"/>
          <w:szCs w:val="32"/>
          <w:lang w:val="en-US" w:eastAsia="zh-CN"/>
        </w:rPr>
        <w:t>82万</w:t>
      </w:r>
      <w:r>
        <w:rPr>
          <w:rFonts w:hint="eastAsia" w:ascii="仿宋_GB2312" w:hAnsi="仿宋_GB2312" w:eastAsia="仿宋_GB2312" w:cs="仿宋_GB2312"/>
          <w:szCs w:val="32"/>
        </w:rPr>
        <w:t>元。</w:t>
      </w:r>
    </w:p>
    <w:p>
      <w:pPr>
        <w:topLinePunct/>
        <w:ind w:firstLine="594" w:firstLineChars="200"/>
        <w:rPr>
          <w:rFonts w:ascii="仿宋_GB2312" w:cs="仿宋_GB2312"/>
          <w:szCs w:val="32"/>
        </w:rPr>
      </w:pPr>
      <w:r>
        <w:rPr>
          <w:rFonts w:ascii="仿宋_GB2312" w:hAnsi="仿宋_GB2312" w:cs="仿宋_GB2312"/>
          <w:szCs w:val="32"/>
        </w:rPr>
        <w:t>2</w:t>
      </w:r>
      <w:r>
        <w:rPr>
          <w:rFonts w:hint="eastAsia" w:ascii="仿宋_GB2312" w:hAnsi="仿宋_GB2312" w:cs="仿宋_GB2312"/>
          <w:szCs w:val="32"/>
        </w:rPr>
        <w:t>、项目资金使用情况分析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97" w:firstLineChars="100"/>
        <w:textAlignment w:val="auto"/>
        <w:outlineLvl w:val="0"/>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 xml:space="preserve"> 项目资金主要用于：</w:t>
      </w:r>
      <w:r>
        <w:rPr>
          <w:rFonts w:hint="eastAsia" w:ascii="仿宋_GB2312" w:hAnsi="仿宋_GB2312" w:eastAsia="仿宋_GB2312" w:cs="仿宋_GB2312"/>
          <w:color w:val="auto"/>
          <w:sz w:val="32"/>
          <w:szCs w:val="32"/>
          <w:lang w:val="en-US" w:eastAsia="zh-CN"/>
        </w:rPr>
        <w:t>毓和、致远、万青</w:t>
      </w:r>
      <w:r>
        <w:rPr>
          <w:rFonts w:hint="eastAsia" w:ascii="仿宋_GB2312" w:hAnsi="仿宋_GB2312" w:eastAsia="仿宋_GB2312" w:cs="仿宋_GB2312"/>
          <w:szCs w:val="32"/>
          <w:lang w:val="en-US" w:eastAsia="zh-CN"/>
        </w:rPr>
        <w:t>3个城市社区办公经费补助。</w:t>
      </w:r>
    </w:p>
    <w:p>
      <w:pPr>
        <w:ind w:firstLine="594" w:firstLineChars="200"/>
        <w:rPr>
          <w:rFonts w:ascii="仿宋_GB2312"/>
          <w:szCs w:val="32"/>
        </w:rPr>
      </w:pPr>
      <w:r>
        <w:rPr>
          <w:rFonts w:ascii="仿宋_GB2312"/>
          <w:szCs w:val="32"/>
        </w:rPr>
        <w:t>3</w:t>
      </w:r>
      <w:r>
        <w:rPr>
          <w:rFonts w:hint="eastAsia" w:ascii="仿宋_GB2312"/>
          <w:szCs w:val="32"/>
        </w:rPr>
        <w:t>、项目资金管理情况分析</w:t>
      </w:r>
    </w:p>
    <w:p>
      <w:pPr>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在经费使用过程中根据《昆明市呈贡区人民政府关于印发〈呈贡区城市社区经费管理实施办法（试行）的通知〉（呈政发〔</w:t>
      </w:r>
      <w:r>
        <w:rPr>
          <w:rFonts w:hint="eastAsia" w:ascii="仿宋_GB2312" w:hAnsi="仿宋_GB2312" w:eastAsia="仿宋_GB2312" w:cs="仿宋_GB2312"/>
          <w:szCs w:val="32"/>
          <w:lang w:val="en-US" w:eastAsia="zh-CN"/>
        </w:rPr>
        <w:t>2017</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55</w:t>
      </w:r>
      <w:r>
        <w:rPr>
          <w:rFonts w:hint="eastAsia" w:ascii="仿宋_GB2312" w:hAnsi="仿宋_GB2312" w:eastAsia="仿宋_GB2312" w:cs="仿宋_GB2312"/>
          <w:szCs w:val="32"/>
        </w:rPr>
        <w:t>号）》文件精神的规定,</w:t>
      </w:r>
      <w:r>
        <w:rPr>
          <w:rFonts w:hint="eastAsia" w:ascii="仿宋_GB2312" w:hAnsi="仿宋_GB2312" w:eastAsia="仿宋_GB2312" w:cs="仿宋_GB2312"/>
          <w:color w:val="333333"/>
          <w:kern w:val="0"/>
          <w:szCs w:val="21"/>
        </w:rPr>
        <w:t xml:space="preserve"> 吴家营街道办事处城市社区工作经费专项资金管理使用做到了各级领导重视，部门职责明确；资金封闭运行，专款专用；来往账目清晰，部门配合密切。</w:t>
      </w:r>
    </w:p>
    <w:p>
      <w:pPr>
        <w:topLinePunct/>
        <w:ind w:firstLine="594" w:firstLineChars="200"/>
        <w:outlineLvl w:val="0"/>
        <w:rPr>
          <w:rFonts w:ascii="楷体_GB2312" w:eastAsia="楷体_GB2312"/>
          <w:szCs w:val="32"/>
        </w:rPr>
      </w:pPr>
      <w:r>
        <w:rPr>
          <w:rFonts w:hint="eastAsia" w:ascii="楷体_GB2312" w:eastAsia="楷体_GB2312"/>
          <w:szCs w:val="32"/>
        </w:rPr>
        <w:t>（二）项目实施情况分析</w:t>
      </w:r>
    </w:p>
    <w:p>
      <w:pPr>
        <w:topLinePunct/>
        <w:ind w:firstLine="594" w:firstLineChars="200"/>
        <w:rPr>
          <w:rFonts w:ascii="仿宋_GB2312"/>
          <w:szCs w:val="32"/>
        </w:rPr>
      </w:pPr>
      <w:r>
        <w:rPr>
          <w:rFonts w:ascii="仿宋_GB2312"/>
          <w:szCs w:val="32"/>
        </w:rPr>
        <w:t>1</w:t>
      </w:r>
      <w:r>
        <w:rPr>
          <w:rFonts w:hint="eastAsia" w:ascii="仿宋_GB2312"/>
          <w:szCs w:val="32"/>
        </w:rPr>
        <w:t>、项目的组织情况分析</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在项目实施前结合新成立的城市社区的实际情况，吴家营街道办事处的实际情况制定工作方案，明确了街道各部门的工作任务，成立了领导小组，统筹该项工作的推进。</w:t>
      </w:r>
    </w:p>
    <w:p>
      <w:pPr>
        <w:topLinePunct/>
        <w:ind w:firstLine="594" w:firstLineChars="200"/>
        <w:rPr>
          <w:rFonts w:ascii="仿宋_GB2312"/>
          <w:szCs w:val="32"/>
        </w:rPr>
      </w:pPr>
      <w:r>
        <w:rPr>
          <w:rFonts w:ascii="仿宋_GB2312"/>
          <w:szCs w:val="32"/>
        </w:rPr>
        <w:t>2</w:t>
      </w:r>
      <w:r>
        <w:rPr>
          <w:rFonts w:hint="eastAsia" w:ascii="仿宋_GB2312"/>
          <w:szCs w:val="32"/>
        </w:rPr>
        <w:t>、项目管理情况分析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94" w:firstLineChars="200"/>
        <w:textAlignment w:val="auto"/>
        <w:outlineLvl w:val="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通过加强预算收支管理，不断建立健全内部管理制度，梳理内部管理流程，</w:t>
      </w:r>
      <w:r>
        <w:rPr>
          <w:rFonts w:hint="eastAsia" w:ascii="仿宋_GB2312" w:hAnsi="仿宋_GB2312" w:eastAsia="仿宋_GB2312" w:cs="仿宋_GB2312"/>
          <w:szCs w:val="32"/>
          <w:highlight w:val="none"/>
          <w:lang w:val="en-US" w:eastAsia="zh-CN"/>
        </w:rPr>
        <w:t>项目</w:t>
      </w:r>
      <w:r>
        <w:rPr>
          <w:rFonts w:hint="eastAsia" w:ascii="仿宋_GB2312" w:hAnsi="仿宋_GB2312" w:eastAsia="仿宋_GB2312" w:cs="仿宋_GB2312"/>
          <w:szCs w:val="32"/>
          <w:highlight w:val="none"/>
        </w:rPr>
        <w:t>支出管理情况得到提升。</w:t>
      </w:r>
      <w:r>
        <w:rPr>
          <w:rFonts w:hint="eastAsia" w:ascii="仿宋_GB2312" w:hAnsi="仿宋_GB2312" w:eastAsia="仿宋_GB2312" w:cs="仿宋_GB2312"/>
          <w:color w:val="000000"/>
          <w:kern w:val="0"/>
          <w:sz w:val="32"/>
          <w:szCs w:val="32"/>
        </w:rPr>
        <w:t>建立项目的管理制度，项目专款专用，项目管理情况良好</w:t>
      </w:r>
      <w:r>
        <w:rPr>
          <w:rFonts w:hint="eastAsia" w:ascii="仿宋_GB2312" w:hAnsi="仿宋_GB2312" w:eastAsia="仿宋_GB2312" w:cs="仿宋_GB2312"/>
          <w:color w:val="000000"/>
          <w:kern w:val="0"/>
          <w:sz w:val="32"/>
          <w:szCs w:val="32"/>
          <w:lang w:eastAsia="zh-CN"/>
        </w:rPr>
        <w:t>。</w:t>
      </w:r>
    </w:p>
    <w:p>
      <w:pPr>
        <w:spacing w:line="560" w:lineRule="exact"/>
        <w:ind w:firstLine="594" w:firstLineChars="200"/>
        <w:rPr>
          <w:rFonts w:ascii="楷体_GB2312" w:eastAsia="楷体_GB2312"/>
          <w:szCs w:val="32"/>
        </w:rPr>
      </w:pPr>
      <w:r>
        <w:rPr>
          <w:rFonts w:hint="eastAsia" w:ascii="楷体_GB2312" w:eastAsia="楷体_GB2312"/>
          <w:szCs w:val="32"/>
        </w:rPr>
        <w:t>（三）项目的绩效情况分析</w:t>
      </w:r>
    </w:p>
    <w:p>
      <w:pPr>
        <w:spacing w:line="560" w:lineRule="exact"/>
        <w:ind w:firstLine="594" w:firstLineChars="200"/>
        <w:rPr>
          <w:rFonts w:ascii="仿宋_GB2312"/>
          <w:color w:val="000000"/>
          <w:szCs w:val="32"/>
        </w:rPr>
      </w:pPr>
      <w:r>
        <w:rPr>
          <w:rFonts w:ascii="仿宋_GB2312"/>
          <w:color w:val="000000"/>
          <w:szCs w:val="32"/>
        </w:rPr>
        <w:t>1</w:t>
      </w:r>
      <w:r>
        <w:rPr>
          <w:rFonts w:hint="eastAsia" w:ascii="仿宋_GB2312"/>
          <w:color w:val="000000"/>
          <w:szCs w:val="32"/>
        </w:rPr>
        <w:t>、项目经济性分析</w:t>
      </w:r>
    </w:p>
    <w:p>
      <w:pPr>
        <w:spacing w:line="560" w:lineRule="exact"/>
        <w:ind w:firstLine="594" w:firstLineChars="200"/>
        <w:rPr>
          <w:rFonts w:ascii="仿宋_GB2312" w:hAnsi="宋体"/>
          <w:szCs w:val="32"/>
        </w:rPr>
      </w:pPr>
      <w:r>
        <w:rPr>
          <w:rFonts w:hint="eastAsia" w:ascii="仿宋_GB2312" w:hAnsi="宋体"/>
          <w:szCs w:val="32"/>
        </w:rPr>
        <w:t>（</w:t>
      </w:r>
      <w:r>
        <w:rPr>
          <w:rFonts w:ascii="仿宋_GB2312" w:hAnsi="宋体"/>
          <w:szCs w:val="32"/>
        </w:rPr>
        <w:t>1</w:t>
      </w:r>
      <w:r>
        <w:rPr>
          <w:rFonts w:hint="eastAsia" w:ascii="仿宋_GB2312" w:hAnsi="宋体"/>
          <w:szCs w:val="32"/>
        </w:rPr>
        <w:t>）项目成本（预算）控制情况</w:t>
      </w:r>
    </w:p>
    <w:p>
      <w:pPr>
        <w:spacing w:line="560" w:lineRule="exact"/>
        <w:ind w:firstLine="594" w:firstLineChars="200"/>
        <w:rPr>
          <w:rFonts w:hint="eastAsia" w:ascii="仿宋_GB2312" w:hAnsi="仿宋_GB2312" w:eastAsia="仿宋_GB2312" w:cs="仿宋_GB2312"/>
          <w:color w:val="000000"/>
          <w:szCs w:val="32"/>
        </w:rPr>
      </w:pPr>
      <w:r>
        <w:rPr>
          <w:rFonts w:hint="eastAsia" w:ascii="仿宋_GB2312" w:hAnsi="仿宋_GB2312" w:eastAsia="仿宋_GB2312" w:cs="仿宋_GB2312"/>
          <w:szCs w:val="32"/>
        </w:rPr>
        <w:t>20</w:t>
      </w:r>
      <w:r>
        <w:rPr>
          <w:rFonts w:hint="eastAsia" w:ascii="仿宋_GB2312" w:hAnsi="仿宋_GB2312" w:eastAsia="仿宋_GB2312" w:cs="仿宋_GB2312"/>
          <w:szCs w:val="32"/>
          <w:lang w:val="en-US" w:eastAsia="zh-CN"/>
        </w:rPr>
        <w:t>22</w:t>
      </w:r>
      <w:r>
        <w:rPr>
          <w:rFonts w:hint="eastAsia" w:ascii="仿宋_GB2312" w:hAnsi="仿宋_GB2312" w:eastAsia="仿宋_GB2312" w:cs="仿宋_GB2312"/>
          <w:szCs w:val="32"/>
        </w:rPr>
        <w:t>年，吴家营街道严格控制项目成本（预算），按时完成了城市社区工作经费项目。</w:t>
      </w:r>
      <w:r>
        <w:rPr>
          <w:rFonts w:hint="eastAsia" w:ascii="仿宋_GB2312" w:hAnsi="仿宋_GB2312" w:eastAsia="仿宋_GB2312" w:cs="仿宋_GB2312"/>
          <w:color w:val="000000"/>
          <w:szCs w:val="32"/>
        </w:rPr>
        <w:t>20</w:t>
      </w:r>
      <w:r>
        <w:rPr>
          <w:rFonts w:hint="eastAsia" w:ascii="仿宋_GB2312" w:hAnsi="仿宋_GB2312" w:eastAsia="仿宋_GB2312" w:cs="仿宋_GB2312"/>
          <w:color w:val="000000"/>
          <w:szCs w:val="32"/>
          <w:lang w:val="en-US" w:eastAsia="zh-CN"/>
        </w:rPr>
        <w:t>22</w:t>
      </w:r>
      <w:r>
        <w:rPr>
          <w:rFonts w:hint="eastAsia" w:ascii="仿宋_GB2312" w:hAnsi="仿宋_GB2312" w:eastAsia="仿宋_GB2312" w:cs="仿宋_GB2312"/>
          <w:color w:val="000000"/>
          <w:szCs w:val="32"/>
        </w:rPr>
        <w:t>年区级财政安排城市社区工作经费</w:t>
      </w:r>
      <w:r>
        <w:rPr>
          <w:rFonts w:hint="eastAsia" w:ascii="仿宋_GB2312" w:hAnsi="仿宋_GB2312" w:eastAsia="仿宋_GB2312" w:cs="仿宋_GB2312"/>
          <w:color w:val="000000"/>
          <w:szCs w:val="32"/>
          <w:lang w:val="en-US" w:eastAsia="zh-CN"/>
        </w:rPr>
        <w:t>82万</w:t>
      </w:r>
      <w:r>
        <w:rPr>
          <w:rFonts w:hint="eastAsia" w:ascii="仿宋_GB2312" w:hAnsi="仿宋_GB2312" w:eastAsia="仿宋_GB2312" w:cs="仿宋_GB2312"/>
          <w:color w:val="000000"/>
          <w:szCs w:val="32"/>
        </w:rPr>
        <w:t>元，较大程度上确保了社区正常工作的开展。</w:t>
      </w:r>
    </w:p>
    <w:p>
      <w:pPr>
        <w:spacing w:line="560" w:lineRule="exact"/>
        <w:ind w:firstLine="594" w:firstLineChars="200"/>
        <w:rPr>
          <w:rFonts w:ascii="仿宋_GB2312" w:hAnsi="宋体"/>
          <w:color w:val="000000"/>
          <w:szCs w:val="32"/>
        </w:rPr>
      </w:pPr>
      <w:r>
        <w:rPr>
          <w:rFonts w:hint="eastAsia" w:ascii="仿宋_GB2312" w:hAnsi="宋体"/>
          <w:color w:val="000000"/>
          <w:szCs w:val="32"/>
        </w:rPr>
        <w:t>（</w:t>
      </w:r>
      <w:r>
        <w:rPr>
          <w:rFonts w:ascii="仿宋_GB2312" w:hAnsi="宋体"/>
          <w:color w:val="000000"/>
          <w:szCs w:val="32"/>
        </w:rPr>
        <w:t>2</w:t>
      </w:r>
      <w:r>
        <w:rPr>
          <w:rFonts w:hint="eastAsia" w:ascii="仿宋_GB2312" w:hAnsi="宋体"/>
          <w:color w:val="000000"/>
          <w:szCs w:val="32"/>
        </w:rPr>
        <w:t>）项目成本（预算）节约情况</w:t>
      </w:r>
    </w:p>
    <w:p>
      <w:pPr>
        <w:spacing w:line="560" w:lineRule="exact"/>
        <w:ind w:firstLine="446" w:firstLineChars="15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20</w:t>
      </w:r>
      <w:r>
        <w:rPr>
          <w:rFonts w:hint="eastAsia" w:ascii="仿宋_GB2312" w:hAnsi="仿宋_GB2312" w:eastAsia="仿宋_GB2312" w:cs="仿宋_GB2312"/>
          <w:color w:val="000000"/>
          <w:szCs w:val="32"/>
          <w:lang w:val="en-US" w:eastAsia="zh-CN"/>
        </w:rPr>
        <w:t>22</w:t>
      </w:r>
      <w:r>
        <w:rPr>
          <w:rFonts w:hint="eastAsia" w:ascii="仿宋_GB2312" w:hAnsi="仿宋_GB2312" w:eastAsia="仿宋_GB2312" w:cs="仿宋_GB2312"/>
          <w:color w:val="000000"/>
          <w:szCs w:val="32"/>
        </w:rPr>
        <w:t>年</w:t>
      </w:r>
      <w:bookmarkStart w:id="0" w:name="_GoBack"/>
      <w:bookmarkEnd w:id="0"/>
      <w:r>
        <w:rPr>
          <w:rFonts w:hint="eastAsia" w:ascii="仿宋_GB2312" w:hAnsi="仿宋_GB2312" w:eastAsia="仿宋_GB2312" w:cs="仿宋_GB2312"/>
          <w:color w:val="000000"/>
          <w:szCs w:val="32"/>
        </w:rPr>
        <w:t>城市社区工作经费支出</w:t>
      </w:r>
      <w:r>
        <w:rPr>
          <w:rFonts w:hint="eastAsia" w:ascii="仿宋_GB2312" w:hAnsi="仿宋_GB2312" w:eastAsia="仿宋_GB2312" w:cs="仿宋_GB2312"/>
          <w:color w:val="000000"/>
          <w:szCs w:val="32"/>
          <w:lang w:val="en-US" w:eastAsia="zh-CN"/>
        </w:rPr>
        <w:t>82万</w:t>
      </w:r>
      <w:r>
        <w:rPr>
          <w:rFonts w:hint="eastAsia" w:ascii="仿宋_GB2312" w:hAnsi="仿宋_GB2312" w:eastAsia="仿宋_GB2312" w:cs="仿宋_GB2312"/>
          <w:color w:val="000000"/>
          <w:szCs w:val="32"/>
        </w:rPr>
        <w:t>元。在经费使用过程中，社区始终坚持厉行节约、合理支出、专款专用的原则，严格执行相关标准，较大程度上提高了项目资金的使用效益。</w:t>
      </w:r>
    </w:p>
    <w:p>
      <w:pPr>
        <w:spacing w:line="560" w:lineRule="exact"/>
        <w:ind w:firstLine="594" w:firstLineChars="200"/>
        <w:rPr>
          <w:rFonts w:ascii="仿宋_GB2312"/>
          <w:color w:val="000000"/>
          <w:szCs w:val="32"/>
        </w:rPr>
      </w:pPr>
      <w:r>
        <w:rPr>
          <w:rFonts w:ascii="仿宋_GB2312" w:hAnsi="宋体"/>
          <w:color w:val="000000"/>
          <w:szCs w:val="32"/>
        </w:rPr>
        <w:t xml:space="preserve"> </w:t>
      </w:r>
      <w:r>
        <w:rPr>
          <w:rFonts w:ascii="仿宋_GB2312" w:hAnsi="宋体"/>
          <w:szCs w:val="32"/>
        </w:rPr>
        <w:t>2</w:t>
      </w:r>
      <w:r>
        <w:rPr>
          <w:rFonts w:hint="eastAsia" w:ascii="仿宋_GB2312" w:hAnsi="宋体"/>
          <w:szCs w:val="32"/>
        </w:rPr>
        <w:t>、项目的效率性分析</w:t>
      </w:r>
    </w:p>
    <w:p>
      <w:pPr>
        <w:spacing w:line="560" w:lineRule="exact"/>
        <w:ind w:firstLine="446" w:firstLineChars="150"/>
        <w:rPr>
          <w:rFonts w:ascii="仿宋_GB2312"/>
          <w:color w:val="000000"/>
          <w:szCs w:val="32"/>
        </w:rPr>
      </w:pPr>
      <w:r>
        <w:rPr>
          <w:rFonts w:hint="eastAsia" w:ascii="仿宋_GB2312"/>
          <w:color w:val="000000"/>
          <w:szCs w:val="32"/>
        </w:rPr>
        <w:t>（</w:t>
      </w:r>
      <w:r>
        <w:rPr>
          <w:rFonts w:ascii="仿宋_GB2312"/>
          <w:color w:val="000000"/>
          <w:szCs w:val="32"/>
        </w:rPr>
        <w:t>1</w:t>
      </w:r>
      <w:r>
        <w:rPr>
          <w:rFonts w:hint="eastAsia" w:ascii="仿宋_GB2312"/>
          <w:color w:val="000000"/>
          <w:szCs w:val="32"/>
        </w:rPr>
        <w:t>）资金的使用进度与</w:t>
      </w:r>
      <w:r>
        <w:rPr>
          <w:rFonts w:hint="eastAsia" w:ascii="仿宋_GB2312"/>
          <w:color w:val="000000"/>
          <w:szCs w:val="32"/>
          <w:lang w:eastAsia="zh-CN"/>
        </w:rPr>
        <w:t>城市社区</w:t>
      </w:r>
      <w:r>
        <w:rPr>
          <w:rFonts w:hint="eastAsia" w:ascii="仿宋_GB2312"/>
          <w:color w:val="000000"/>
          <w:szCs w:val="32"/>
        </w:rPr>
        <w:t>日常工作一致。</w:t>
      </w:r>
      <w:r>
        <w:rPr>
          <w:rFonts w:ascii="仿宋_GB2312"/>
          <w:color w:val="000000"/>
          <w:szCs w:val="32"/>
        </w:rPr>
        <w:t xml:space="preserve">   </w:t>
      </w:r>
    </w:p>
    <w:p>
      <w:pPr>
        <w:spacing w:line="560" w:lineRule="exact"/>
        <w:ind w:firstLine="446" w:firstLineChars="150"/>
        <w:rPr>
          <w:rFonts w:ascii="仿宋_GB2312"/>
          <w:color w:val="000000"/>
          <w:szCs w:val="32"/>
        </w:rPr>
      </w:pPr>
      <w:r>
        <w:rPr>
          <w:rFonts w:hint="eastAsia" w:ascii="仿宋_GB2312"/>
          <w:color w:val="000000"/>
          <w:szCs w:val="32"/>
        </w:rPr>
        <w:t>（</w:t>
      </w:r>
      <w:r>
        <w:rPr>
          <w:rFonts w:ascii="仿宋_GB2312"/>
          <w:color w:val="000000"/>
          <w:szCs w:val="32"/>
        </w:rPr>
        <w:t>2</w:t>
      </w:r>
      <w:r>
        <w:rPr>
          <w:rFonts w:hint="eastAsia" w:ascii="仿宋_GB2312"/>
          <w:color w:val="000000"/>
          <w:szCs w:val="32"/>
        </w:rPr>
        <w:t>）为发挥社区居委会在经济社会发展中的作用奠定了坚实的基础。</w:t>
      </w:r>
    </w:p>
    <w:p>
      <w:pPr>
        <w:spacing w:line="560" w:lineRule="exact"/>
        <w:ind w:firstLine="594" w:firstLineChars="200"/>
        <w:rPr>
          <w:rFonts w:ascii="仿宋_GB2312"/>
          <w:color w:val="000000"/>
          <w:szCs w:val="32"/>
        </w:rPr>
      </w:pPr>
      <w:r>
        <w:rPr>
          <w:rFonts w:ascii="仿宋_GB2312"/>
          <w:color w:val="000000"/>
          <w:szCs w:val="32"/>
        </w:rPr>
        <w:t>3</w:t>
      </w:r>
      <w:r>
        <w:rPr>
          <w:rFonts w:hint="eastAsia" w:ascii="仿宋_GB2312"/>
          <w:color w:val="000000"/>
          <w:szCs w:val="32"/>
        </w:rPr>
        <w:t>、项目的效益性分析</w:t>
      </w:r>
    </w:p>
    <w:p>
      <w:pPr>
        <w:spacing w:line="560" w:lineRule="exact"/>
        <w:ind w:firstLine="446" w:firstLineChars="150"/>
        <w:rPr>
          <w:rFonts w:ascii="仿宋_GB2312"/>
          <w:color w:val="000000"/>
          <w:szCs w:val="32"/>
        </w:rPr>
      </w:pPr>
      <w:r>
        <w:rPr>
          <w:rFonts w:hint="eastAsia" w:ascii="仿宋_GB2312"/>
          <w:color w:val="000000"/>
          <w:szCs w:val="32"/>
        </w:rPr>
        <w:t>（</w:t>
      </w:r>
      <w:r>
        <w:rPr>
          <w:rFonts w:ascii="仿宋_GB2312"/>
          <w:color w:val="000000"/>
          <w:szCs w:val="32"/>
        </w:rPr>
        <w:t>1</w:t>
      </w:r>
      <w:r>
        <w:rPr>
          <w:rFonts w:hint="eastAsia" w:ascii="仿宋_GB2312"/>
          <w:color w:val="000000"/>
          <w:szCs w:val="32"/>
        </w:rPr>
        <w:t>）项目预期目标完成程度</w:t>
      </w:r>
    </w:p>
    <w:p>
      <w:pPr>
        <w:ind w:firstLine="64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城市社区</w:t>
      </w:r>
      <w:r>
        <w:rPr>
          <w:rFonts w:hint="eastAsia" w:ascii="仿宋_GB2312" w:hAnsi="仿宋_GB2312" w:eastAsia="仿宋_GB2312" w:cs="仿宋_GB2312"/>
          <w:szCs w:val="32"/>
        </w:rPr>
        <w:t>开展了各项社会事务（如医保、计划生育服务、民政等工作），宣传党和政府政策方针、法律法规、组织居民开展文体活动等工作，有效的</w:t>
      </w:r>
      <w:r>
        <w:rPr>
          <w:rFonts w:hint="eastAsia" w:ascii="仿宋_GB2312" w:hAnsi="仿宋_GB2312" w:eastAsia="仿宋_GB2312" w:cs="仿宋_GB2312"/>
          <w:color w:val="000000"/>
          <w:szCs w:val="32"/>
          <w:shd w:val="clear" w:color="auto" w:fill="FFFFFF"/>
        </w:rPr>
        <w:t>服务了</w:t>
      </w:r>
      <w:r>
        <w:rPr>
          <w:rFonts w:hint="eastAsia" w:ascii="仿宋_GB2312" w:hAnsi="仿宋_GB2312" w:eastAsia="仿宋_GB2312" w:cs="仿宋_GB2312"/>
          <w:color w:val="000000"/>
          <w:szCs w:val="32"/>
          <w:shd w:val="clear" w:color="auto" w:fill="FFFFFF"/>
          <w:lang w:eastAsia="zh-CN"/>
        </w:rPr>
        <w:t>社区居民</w:t>
      </w:r>
      <w:r>
        <w:rPr>
          <w:rFonts w:hint="eastAsia" w:ascii="仿宋_GB2312" w:hAnsi="仿宋_GB2312" w:eastAsia="仿宋_GB2312" w:cs="仿宋_GB2312"/>
          <w:color w:val="000000"/>
          <w:szCs w:val="32"/>
          <w:shd w:val="clear" w:color="auto" w:fill="FFFFFF"/>
        </w:rPr>
        <w:t>，逐步实现社区环境宜居化、居民自治规范化、管理手段现代化、办事服务便捷化、生活方式文明化、群众参与广泛化，把社区建设成为有理念、有内涵、有品位、有特色、有活力的社会生活共同体。</w:t>
      </w:r>
      <w:r>
        <w:rPr>
          <w:rFonts w:hint="eastAsia" w:ascii="仿宋_GB2312" w:hAnsi="仿宋_GB2312" w:eastAsia="仿宋_GB2312" w:cs="仿宋_GB2312"/>
          <w:szCs w:val="32"/>
        </w:rPr>
        <w:t xml:space="preserve">  </w:t>
      </w:r>
    </w:p>
    <w:p>
      <w:pPr>
        <w:spacing w:line="560" w:lineRule="exact"/>
        <w:ind w:firstLine="446" w:firstLineChars="150"/>
        <w:rPr>
          <w:rFonts w:ascii="仿宋_GB2312"/>
          <w:color w:val="000000"/>
          <w:szCs w:val="32"/>
        </w:rPr>
      </w:pPr>
      <w:r>
        <w:rPr>
          <w:rFonts w:hint="eastAsia" w:ascii="仿宋_GB2312"/>
          <w:color w:val="000000"/>
          <w:szCs w:val="32"/>
        </w:rPr>
        <w:t>（</w:t>
      </w:r>
      <w:r>
        <w:rPr>
          <w:rFonts w:ascii="仿宋_GB2312"/>
          <w:color w:val="000000"/>
          <w:szCs w:val="32"/>
        </w:rPr>
        <w:t>2</w:t>
      </w:r>
      <w:r>
        <w:rPr>
          <w:rFonts w:hint="eastAsia" w:ascii="仿宋_GB2312"/>
          <w:color w:val="000000"/>
          <w:szCs w:val="32"/>
        </w:rPr>
        <w:t>）项目实施对经济和社区的影响</w:t>
      </w:r>
    </w:p>
    <w:p>
      <w:pPr>
        <w:spacing w:line="560" w:lineRule="exact"/>
        <w:ind w:firstLine="446" w:firstLineChars="15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如今，社区已经成为社会管理的基础环节，城市社区已经成为各种社会矛盾的交汇点，在缓解社会问题压力、逐渐化解社会矛盾上有重要的作用。随着广大居民群众生活水平的提高，居民需求的多样性、差异性增强，社区成为了最能了解和贴近群众需求、满足群众需要的“家园”，社区的和谐，是构建和谐社会的基础。</w:t>
      </w:r>
    </w:p>
    <w:p>
      <w:pPr>
        <w:topLinePunct/>
        <w:spacing w:line="560" w:lineRule="exact"/>
        <w:ind w:firstLine="594" w:firstLineChars="200"/>
        <w:rPr>
          <w:rFonts w:ascii="黑体" w:eastAsia="黑体"/>
          <w:szCs w:val="32"/>
        </w:rPr>
      </w:pPr>
      <w:r>
        <w:rPr>
          <w:rFonts w:hint="eastAsia" w:ascii="黑体" w:eastAsia="黑体"/>
          <w:szCs w:val="32"/>
        </w:rPr>
        <w:t>五、综合评价情况及评价结论</w:t>
      </w:r>
    </w:p>
    <w:p>
      <w:pPr>
        <w:spacing w:line="560" w:lineRule="exact"/>
        <w:ind w:firstLine="446"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为城市社区</w:t>
      </w:r>
      <w:r>
        <w:rPr>
          <w:rFonts w:hint="eastAsia" w:ascii="仿宋_GB2312" w:hAnsi="仿宋_GB2312" w:eastAsia="仿宋_GB2312" w:cs="仿宋_GB2312"/>
          <w:color w:val="000000"/>
          <w:sz w:val="32"/>
          <w:szCs w:val="32"/>
        </w:rPr>
        <w:t>党组织在社区建设中发挥作用提供了前提和基础。推动了辖区民主政治建设、构建了党和政府联系社区居民的桥梁和纽带，巩固了党的执政基础。此外，</w:t>
      </w:r>
      <w:r>
        <w:rPr>
          <w:rFonts w:hint="eastAsia" w:ascii="仿宋_GB2312" w:hAnsi="仿宋_GB2312" w:eastAsia="仿宋_GB2312" w:cs="仿宋_GB2312"/>
          <w:color w:val="000000"/>
          <w:sz w:val="32"/>
          <w:szCs w:val="32"/>
          <w:lang w:eastAsia="zh-CN"/>
        </w:rPr>
        <w:t>城市社区</w:t>
      </w:r>
      <w:r>
        <w:rPr>
          <w:rFonts w:hint="eastAsia" w:ascii="仿宋_GB2312" w:hAnsi="仿宋_GB2312" w:eastAsia="仿宋_GB2312" w:cs="仿宋_GB2312"/>
          <w:color w:val="000000"/>
          <w:sz w:val="32"/>
          <w:szCs w:val="32"/>
        </w:rPr>
        <w:t>能够承担起宣传宪法、法律和国家政策，维护居民的合法权益，协助街道和市、区做好居民利益有关的社会治安、劳动就业、计划生育、人口管理等工作，确保政府各项工作在基层社区的顺利开展。社区作为精神文明建设活动的前沿和阵地，对辖区内居民的精神生活水平的提高具有积极的意义。</w:t>
      </w:r>
    </w:p>
    <w:p>
      <w:pPr>
        <w:numPr>
          <w:ilvl w:val="0"/>
          <w:numId w:val="0"/>
        </w:numPr>
        <w:ind w:firstLine="594" w:firstLineChars="200"/>
        <w:rPr>
          <w:rFonts w:hint="eastAsia" w:ascii="黑体" w:hAnsi="黑体" w:eastAsia="黑体" w:cs="黑体"/>
          <w:b/>
          <w:szCs w:val="32"/>
        </w:rPr>
      </w:pPr>
      <w:r>
        <w:rPr>
          <w:rFonts w:hint="eastAsia" w:ascii="黑体" w:hAnsi="黑体" w:eastAsia="黑体" w:cs="黑体"/>
          <w:szCs w:val="32"/>
        </w:rPr>
        <w:t>六、</w:t>
      </w:r>
      <w:r>
        <w:rPr>
          <w:rFonts w:hint="eastAsia" w:ascii="黑体" w:hAnsi="黑体" w:eastAsia="黑体" w:cs="黑体"/>
          <w:b/>
          <w:szCs w:val="32"/>
        </w:rPr>
        <w:t>绩效评价结果应用建议</w:t>
      </w:r>
    </w:p>
    <w:p>
      <w:pPr>
        <w:ind w:firstLine="594" w:firstLineChars="200"/>
        <w:rPr>
          <w:rFonts w:hint="eastAsia" w:ascii="仿宋_GB2312"/>
          <w:b w:val="0"/>
          <w:bCs/>
          <w:szCs w:val="32"/>
        </w:rPr>
      </w:pPr>
      <w:r>
        <w:rPr>
          <w:rFonts w:hint="eastAsia" w:ascii="仿宋_GB2312"/>
          <w:b w:val="0"/>
          <w:bCs/>
          <w:szCs w:val="32"/>
        </w:rPr>
        <w:t>为下一年年度预算提供依据。</w:t>
      </w:r>
    </w:p>
    <w:p>
      <w:pPr>
        <w:numPr>
          <w:ilvl w:val="0"/>
          <w:numId w:val="0"/>
        </w:numPr>
        <w:ind w:left="640" w:leftChars="0"/>
        <w:rPr>
          <w:rFonts w:hint="eastAsia" w:ascii="仿宋_GB2312"/>
          <w:b/>
          <w:szCs w:val="32"/>
        </w:rPr>
      </w:pPr>
      <w:r>
        <w:rPr>
          <w:rFonts w:hint="eastAsia" w:ascii="黑体" w:hAnsi="黑体" w:eastAsia="黑体" w:cs="黑体"/>
          <w:szCs w:val="32"/>
        </w:rPr>
        <w:t>七、</w:t>
      </w:r>
      <w:r>
        <w:rPr>
          <w:rFonts w:hint="eastAsia" w:ascii="黑体" w:hAnsi="黑体" w:eastAsia="黑体" w:cs="黑体"/>
          <w:b/>
          <w:szCs w:val="32"/>
        </w:rPr>
        <w:t>主要经验及做法、存在的问题和建议。</w:t>
      </w:r>
    </w:p>
    <w:p>
      <w:pPr>
        <w:numPr>
          <w:ilvl w:val="0"/>
          <w:numId w:val="0"/>
        </w:numPr>
        <w:ind w:leftChars="200"/>
        <w:rPr>
          <w:rFonts w:hint="eastAsia" w:ascii="仿宋_GB2312"/>
          <w:b w:val="0"/>
          <w:bCs/>
          <w:szCs w:val="32"/>
          <w:lang w:eastAsia="zh-CN"/>
        </w:rPr>
      </w:pPr>
      <w:r>
        <w:rPr>
          <w:rFonts w:hint="eastAsia" w:ascii="仿宋_GB2312"/>
          <w:b w:val="0"/>
          <w:bCs/>
          <w:szCs w:val="32"/>
          <w:lang w:eastAsia="zh-CN"/>
        </w:rPr>
        <w:t>无。</w:t>
      </w:r>
    </w:p>
    <w:p>
      <w:pPr>
        <w:numPr>
          <w:ilvl w:val="0"/>
          <w:numId w:val="0"/>
        </w:numPr>
        <w:ind w:firstLine="594" w:firstLineChars="200"/>
        <w:rPr>
          <w:rFonts w:hint="eastAsia" w:ascii="仿宋_GB2312"/>
          <w:b/>
          <w:bCs w:val="0"/>
          <w:szCs w:val="32"/>
        </w:rPr>
      </w:pPr>
      <w:r>
        <w:rPr>
          <w:rFonts w:hint="eastAsia" w:ascii="仿宋_GB2312"/>
          <w:b/>
          <w:bCs w:val="0"/>
          <w:szCs w:val="32"/>
          <w:lang w:eastAsia="zh-CN"/>
        </w:rPr>
        <w:t>八、</w:t>
      </w:r>
      <w:r>
        <w:rPr>
          <w:rFonts w:hint="eastAsia" w:ascii="仿宋_GB2312"/>
          <w:b/>
          <w:bCs w:val="0"/>
          <w:szCs w:val="32"/>
        </w:rPr>
        <w:t>其他需说明的问题。</w:t>
      </w:r>
    </w:p>
    <w:p>
      <w:pPr>
        <w:numPr>
          <w:ilvl w:val="0"/>
          <w:numId w:val="0"/>
        </w:numPr>
        <w:ind w:firstLine="594" w:firstLineChars="200"/>
      </w:pPr>
      <w:r>
        <w:rPr>
          <w:rFonts w:hint="eastAsia" w:ascii="仿宋_GB2312"/>
          <w:b w:val="0"/>
          <w:bCs/>
          <w:szCs w:val="32"/>
          <w:lang w:val="en-US" w:eastAsia="zh-CN"/>
        </w:rPr>
        <w:t>无。</w:t>
      </w:r>
    </w:p>
    <w:p/>
    <w:p/>
    <w:p/>
    <w:p>
      <w:r>
        <w:rPr>
          <w:rFonts w:hint="eastAsia"/>
        </w:rPr>
        <w:t>　　　　　　　　　　　　　　　　　吴家营街道办事处</w:t>
      </w:r>
    </w:p>
    <w:p>
      <w:pPr>
        <w:rPr>
          <w:rFonts w:hint="eastAsia" w:ascii="仿宋_GB2312" w:hAnsi="仿宋_GB2312" w:eastAsia="仿宋_GB2312" w:cs="仿宋_GB2312"/>
        </w:rPr>
      </w:pPr>
      <w:r>
        <w:rPr>
          <w:rFonts w:hint="eastAsia"/>
        </w:rPr>
        <w:t>　　　　　　　　　　　　　　　　</w:t>
      </w:r>
      <w:r>
        <w:rPr>
          <w:rFonts w:hint="eastAsia" w:ascii="仿宋_GB2312" w:hAnsi="仿宋_GB2312" w:eastAsia="仿宋_GB2312" w:cs="仿宋_GB2312"/>
        </w:rPr>
        <w:t>　　</w:t>
      </w:r>
      <w:r>
        <w:rPr>
          <w:rFonts w:hint="eastAsia" w:ascii="仿宋_GB2312" w:hAnsi="仿宋_GB2312" w:eastAsia="仿宋_GB2312" w:cs="仿宋_GB2312"/>
          <w:lang w:val="en-US" w:eastAsia="zh-CN"/>
        </w:rPr>
        <w:t>2023</w:t>
      </w:r>
      <w:r>
        <w:rPr>
          <w:rFonts w:hint="eastAsia" w:ascii="仿宋_GB2312" w:hAnsi="仿宋_GB2312" w:eastAsia="仿宋_GB2312" w:cs="仿宋_GB2312"/>
        </w:rPr>
        <w:t>年3月</w:t>
      </w:r>
      <w:r>
        <w:rPr>
          <w:rFonts w:hint="eastAsia" w:ascii="仿宋_GB2312" w:hAnsi="仿宋_GB2312" w:eastAsia="仿宋_GB2312" w:cs="仿宋_GB2312"/>
          <w:lang w:val="en-US" w:eastAsia="zh-CN"/>
        </w:rPr>
        <w:t>27</w:t>
      </w:r>
      <w:r>
        <w:rPr>
          <w:rFonts w:hint="eastAsia" w:ascii="仿宋_GB2312" w:hAnsi="仿宋_GB2312" w:eastAsia="仿宋_GB2312" w:cs="仿宋_GB2312"/>
        </w:rPr>
        <w:t>日</w:t>
      </w:r>
    </w:p>
    <w:sectPr>
      <w:pgSz w:w="11906" w:h="16838"/>
      <w:pgMar w:top="1418" w:right="1418" w:bottom="1361" w:left="1418"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08F"/>
    <w:rsid w:val="00030A90"/>
    <w:rsid w:val="00067394"/>
    <w:rsid w:val="00090F15"/>
    <w:rsid w:val="000F2D23"/>
    <w:rsid w:val="0010639C"/>
    <w:rsid w:val="00137AF6"/>
    <w:rsid w:val="0018269F"/>
    <w:rsid w:val="001A40FA"/>
    <w:rsid w:val="0022376A"/>
    <w:rsid w:val="00230424"/>
    <w:rsid w:val="00232793"/>
    <w:rsid w:val="0027169C"/>
    <w:rsid w:val="002C2C7E"/>
    <w:rsid w:val="002D30CB"/>
    <w:rsid w:val="00325D02"/>
    <w:rsid w:val="00360706"/>
    <w:rsid w:val="0036431E"/>
    <w:rsid w:val="003919F4"/>
    <w:rsid w:val="003C28AD"/>
    <w:rsid w:val="003C6884"/>
    <w:rsid w:val="003F5E43"/>
    <w:rsid w:val="00432F39"/>
    <w:rsid w:val="00443920"/>
    <w:rsid w:val="004C6164"/>
    <w:rsid w:val="004F2866"/>
    <w:rsid w:val="005723CF"/>
    <w:rsid w:val="00601F83"/>
    <w:rsid w:val="006356DC"/>
    <w:rsid w:val="00641772"/>
    <w:rsid w:val="006F2C74"/>
    <w:rsid w:val="00753DE3"/>
    <w:rsid w:val="0079109E"/>
    <w:rsid w:val="007B6D3B"/>
    <w:rsid w:val="007D230D"/>
    <w:rsid w:val="007D3333"/>
    <w:rsid w:val="008270B9"/>
    <w:rsid w:val="00832B7F"/>
    <w:rsid w:val="00846F2B"/>
    <w:rsid w:val="00863D72"/>
    <w:rsid w:val="00870931"/>
    <w:rsid w:val="008C0FA8"/>
    <w:rsid w:val="008D7519"/>
    <w:rsid w:val="00902E31"/>
    <w:rsid w:val="009040AE"/>
    <w:rsid w:val="00923E28"/>
    <w:rsid w:val="00982E53"/>
    <w:rsid w:val="009B54A0"/>
    <w:rsid w:val="009D3720"/>
    <w:rsid w:val="00A416DE"/>
    <w:rsid w:val="00A57DE4"/>
    <w:rsid w:val="00A86453"/>
    <w:rsid w:val="00B14151"/>
    <w:rsid w:val="00B32891"/>
    <w:rsid w:val="00B3344B"/>
    <w:rsid w:val="00B67A31"/>
    <w:rsid w:val="00BB3503"/>
    <w:rsid w:val="00BB508F"/>
    <w:rsid w:val="00BC4E7C"/>
    <w:rsid w:val="00BD4341"/>
    <w:rsid w:val="00C051E2"/>
    <w:rsid w:val="00C46343"/>
    <w:rsid w:val="00C6433C"/>
    <w:rsid w:val="00CD1998"/>
    <w:rsid w:val="00CF2F64"/>
    <w:rsid w:val="00D05089"/>
    <w:rsid w:val="00D150AD"/>
    <w:rsid w:val="00D22BFB"/>
    <w:rsid w:val="00D61FA0"/>
    <w:rsid w:val="00D71D1E"/>
    <w:rsid w:val="00DC4CD8"/>
    <w:rsid w:val="00DE584F"/>
    <w:rsid w:val="00DF6135"/>
    <w:rsid w:val="00E97759"/>
    <w:rsid w:val="00EA7218"/>
    <w:rsid w:val="00F90FA6"/>
    <w:rsid w:val="00F9210F"/>
    <w:rsid w:val="00F92EA0"/>
    <w:rsid w:val="00F97D5D"/>
    <w:rsid w:val="00FD0FB9"/>
    <w:rsid w:val="05AE36CA"/>
    <w:rsid w:val="0A155EBA"/>
    <w:rsid w:val="0F9507B6"/>
    <w:rsid w:val="1B482BC9"/>
    <w:rsid w:val="2822547A"/>
    <w:rsid w:val="29592066"/>
    <w:rsid w:val="378A5996"/>
    <w:rsid w:val="3A8A0AFE"/>
    <w:rsid w:val="442B0DDC"/>
    <w:rsid w:val="462379BD"/>
    <w:rsid w:val="5A3C6978"/>
    <w:rsid w:val="5B5F1F75"/>
    <w:rsid w:val="5B6A219A"/>
    <w:rsid w:val="62515802"/>
    <w:rsid w:val="67600811"/>
    <w:rsid w:val="73964452"/>
    <w:rsid w:val="787440E0"/>
    <w:rsid w:val="7B444637"/>
    <w:rsid w:val="7D1309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2"/>
    <w:qFormat/>
    <w:locked/>
    <w:uiPriority w:val="99"/>
    <w:pPr>
      <w:keepNext/>
      <w:keepLines/>
      <w:widowControl/>
      <w:overflowPunct w:val="0"/>
      <w:autoSpaceDE w:val="0"/>
      <w:autoSpaceDN w:val="0"/>
      <w:adjustRightInd w:val="0"/>
      <w:spacing w:before="340" w:after="330" w:line="578" w:lineRule="auto"/>
      <w:outlineLvl w:val="0"/>
    </w:pPr>
    <w:rPr>
      <w:rFonts w:ascii="Times New Roman" w:hAnsi="Times New Roman" w:eastAsia="宋体"/>
      <w:b/>
      <w:bCs/>
      <w:kern w:val="44"/>
      <w:sz w:val="44"/>
      <w:szCs w:val="44"/>
    </w:rPr>
  </w:style>
  <w:style w:type="character" w:default="1" w:styleId="7">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9"/>
    <w:semiHidden/>
    <w:qFormat/>
    <w:uiPriority w:val="99"/>
    <w:pPr>
      <w:shd w:val="clear" w:color="auto" w:fill="000080"/>
    </w:p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ing 1 Char"/>
    <w:basedOn w:val="7"/>
    <w:link w:val="2"/>
    <w:qFormat/>
    <w:locked/>
    <w:uiPriority w:val="99"/>
    <w:rPr>
      <w:rFonts w:eastAsia="仿宋_GB2312" w:cs="Times New Roman"/>
      <w:b/>
      <w:bCs/>
      <w:kern w:val="44"/>
      <w:sz w:val="44"/>
      <w:szCs w:val="44"/>
    </w:rPr>
  </w:style>
  <w:style w:type="character" w:customStyle="1" w:styleId="9">
    <w:name w:val="Document Map Char"/>
    <w:basedOn w:val="7"/>
    <w:link w:val="3"/>
    <w:semiHidden/>
    <w:qFormat/>
    <w:locked/>
    <w:uiPriority w:val="99"/>
    <w:rPr>
      <w:rFonts w:ascii="Times New Roman" w:hAnsi="Times New Roman" w:eastAsia="仿宋_GB2312" w:cs="Times New Roman"/>
      <w:sz w:val="2"/>
    </w:rPr>
  </w:style>
  <w:style w:type="character" w:customStyle="1" w:styleId="10">
    <w:name w:val="Header Char"/>
    <w:basedOn w:val="7"/>
    <w:link w:val="5"/>
    <w:semiHidden/>
    <w:qFormat/>
    <w:locked/>
    <w:uiPriority w:val="99"/>
    <w:rPr>
      <w:rFonts w:eastAsia="仿宋_GB2312" w:cs="Times New Roman"/>
      <w:sz w:val="18"/>
      <w:szCs w:val="18"/>
    </w:rPr>
  </w:style>
  <w:style w:type="character" w:customStyle="1" w:styleId="11">
    <w:name w:val="Footer Char"/>
    <w:basedOn w:val="7"/>
    <w:link w:val="4"/>
    <w:semiHidden/>
    <w:qFormat/>
    <w:locked/>
    <w:uiPriority w:val="99"/>
    <w:rPr>
      <w:rFonts w:eastAsia="仿宋_GB2312" w:cs="Times New Roman"/>
      <w:sz w:val="18"/>
      <w:szCs w:val="18"/>
    </w:rPr>
  </w:style>
  <w:style w:type="character" w:customStyle="1" w:styleId="12">
    <w:name w:val="Heading 1 Char1"/>
    <w:basedOn w:val="7"/>
    <w:link w:val="2"/>
    <w:qFormat/>
    <w:locked/>
    <w:uiPriority w:val="99"/>
    <w:rPr>
      <w:rFonts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398</Words>
  <Characters>2275</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2023-04-04T02:34:41Z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