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昆明市呈贡区师专附小海岸城小学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.安保经费：保安人员做到防火、防盗、防泄密等保安工作，排除安全隐患，确保校园无安全事故。学校共有3名保安，按照每人每月</w:t>
      </w:r>
      <w:r>
        <w:rPr>
          <w:rFonts w:hint="eastAsia" w:ascii="仿宋_GB2312" w:hAnsi="仿宋_GB2312" w:cs="仿宋_GB2312"/>
          <w:szCs w:val="32"/>
          <w:lang w:val="en-US" w:eastAsia="zh-CN"/>
        </w:rPr>
        <w:t>0.342万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元工资，每人每年</w:t>
      </w:r>
      <w:r>
        <w:rPr>
          <w:rFonts w:hint="eastAsia" w:ascii="仿宋_GB2312" w:hAnsi="仿宋_GB2312" w:cs="仿宋_GB2312"/>
          <w:szCs w:val="32"/>
          <w:lang w:val="en-US" w:eastAsia="zh-CN"/>
        </w:rPr>
        <w:t>0.1万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元装备费，一年12个月进行项目预算，保安服务费共计</w:t>
      </w:r>
      <w:r>
        <w:rPr>
          <w:rFonts w:hint="eastAsia" w:ascii="仿宋_GB2312" w:hAnsi="仿宋_GB2312" w:cs="仿宋_GB2312"/>
          <w:szCs w:val="32"/>
          <w:lang w:val="en-US" w:eastAsia="zh-CN"/>
        </w:rPr>
        <w:t>12.61万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绿化管养经费：为加强昆明市呈贡区师专附小海岸城小学绿化的养护管理，包括修剪、施肥、除草、病虫害防治、浇水进行为期一年的管理养护。师专附小呈贡分校与江尾小学合作办学，共享教育教学资源，绿化面积5700平方米，杀虫农业3次，每次</w:t>
      </w:r>
      <w:r>
        <w:rPr>
          <w:rFonts w:hint="eastAsia" w:ascii="仿宋_GB2312" w:hAnsi="仿宋_GB2312" w:cs="仿宋_GB2312"/>
          <w:szCs w:val="32"/>
          <w:lang w:val="en-US" w:eastAsia="zh-CN"/>
        </w:rPr>
        <w:t>0.068万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元，合计</w:t>
      </w:r>
      <w:r>
        <w:rPr>
          <w:rFonts w:hint="eastAsia" w:ascii="仿宋_GB2312" w:hAnsi="仿宋_GB2312" w:cs="仿宋_GB2312"/>
          <w:szCs w:val="32"/>
          <w:lang w:val="en-US" w:eastAsia="zh-CN"/>
        </w:rPr>
        <w:t>0.204万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元；打农药机械费及人工3次，每次</w:t>
      </w:r>
      <w:r>
        <w:rPr>
          <w:rFonts w:hint="eastAsia" w:ascii="仿宋_GB2312" w:hAnsi="仿宋_GB2312" w:cs="仿宋_GB2312"/>
          <w:szCs w:val="32"/>
          <w:lang w:val="en-US" w:eastAsia="zh-CN"/>
        </w:rPr>
        <w:t>0.05万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元，合计</w:t>
      </w:r>
      <w:r>
        <w:rPr>
          <w:rFonts w:hint="eastAsia" w:ascii="仿宋_GB2312" w:hAnsi="仿宋_GB2312" w:cs="仿宋_GB2312"/>
          <w:szCs w:val="32"/>
          <w:lang w:val="en-US" w:eastAsia="zh-CN"/>
        </w:rPr>
        <w:t>0.15万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元；尿素12包，每包</w:t>
      </w:r>
      <w:r>
        <w:rPr>
          <w:rFonts w:hint="eastAsia" w:ascii="仿宋_GB2312" w:hAnsi="仿宋_GB2312" w:cs="仿宋_GB2312"/>
          <w:szCs w:val="32"/>
          <w:lang w:val="en-US" w:eastAsia="zh-CN"/>
        </w:rPr>
        <w:t>0.0105万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元，合计</w:t>
      </w:r>
      <w:r>
        <w:rPr>
          <w:rFonts w:hint="eastAsia" w:ascii="仿宋_GB2312" w:hAnsi="仿宋_GB2312" w:cs="仿宋_GB2312"/>
          <w:szCs w:val="32"/>
          <w:lang w:val="en-US" w:eastAsia="zh-CN"/>
        </w:rPr>
        <w:t>0.126万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元；修枝剪造型40工时，每工时</w:t>
      </w:r>
      <w:r>
        <w:rPr>
          <w:rFonts w:hint="eastAsia" w:ascii="仿宋_GB2312" w:hAnsi="仿宋_GB2312" w:cs="仿宋_GB2312"/>
          <w:szCs w:val="32"/>
          <w:lang w:val="en-US" w:eastAsia="zh-CN"/>
        </w:rPr>
        <w:t>0.012万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元，合计</w:t>
      </w:r>
      <w:r>
        <w:rPr>
          <w:rFonts w:hint="eastAsia" w:ascii="仿宋_GB2312" w:hAnsi="仿宋_GB2312" w:cs="仿宋_GB2312"/>
          <w:szCs w:val="32"/>
          <w:lang w:val="en-US" w:eastAsia="zh-CN"/>
        </w:rPr>
        <w:t>0.48万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元；剪草机用油4桶，每桶</w:t>
      </w:r>
      <w:r>
        <w:rPr>
          <w:rFonts w:hint="eastAsia" w:ascii="仿宋_GB2312" w:hAnsi="仿宋_GB2312" w:cs="仿宋_GB2312"/>
          <w:szCs w:val="32"/>
          <w:lang w:val="en-US" w:eastAsia="zh-CN"/>
        </w:rPr>
        <w:t>0.028万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元；爆石灰5袋，每袋30元，合计</w:t>
      </w:r>
      <w:r>
        <w:rPr>
          <w:rFonts w:hint="eastAsia" w:ascii="仿宋_GB2312" w:hAnsi="仿宋_GB2312" w:cs="仿宋_GB2312"/>
          <w:szCs w:val="32"/>
          <w:lang w:val="en-US" w:eastAsia="zh-CN"/>
        </w:rPr>
        <w:t>0.015万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元；其他零星材料</w:t>
      </w:r>
      <w:r>
        <w:rPr>
          <w:rFonts w:hint="eastAsia" w:ascii="仿宋_GB2312" w:hAnsi="仿宋_GB2312" w:cs="仿宋_GB2312"/>
          <w:szCs w:val="32"/>
          <w:lang w:val="en-US" w:eastAsia="zh-CN"/>
        </w:rPr>
        <w:t>0.07万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元；税费</w:t>
      </w:r>
      <w:r>
        <w:rPr>
          <w:rFonts w:hint="eastAsia" w:ascii="仿宋_GB2312" w:hAnsi="仿宋_GB2312" w:cs="仿宋_GB2312"/>
          <w:szCs w:val="32"/>
          <w:lang w:val="en-US" w:eastAsia="zh-CN"/>
        </w:rPr>
        <w:t>0.259万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元；人工费642工时，每工时70元，合计</w:t>
      </w:r>
      <w:r>
        <w:rPr>
          <w:rFonts w:hint="eastAsia" w:ascii="仿宋_GB2312" w:hAnsi="仿宋_GB2312" w:cs="仿宋_GB2312"/>
          <w:szCs w:val="32"/>
          <w:lang w:val="en-US" w:eastAsia="zh-CN"/>
        </w:rPr>
        <w:t>1.514万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元，明细相加全部共计3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.我校按照两级报表上报的学生人数1</w:t>
      </w:r>
      <w:r>
        <w:rPr>
          <w:rFonts w:hint="eastAsia" w:ascii="仿宋_GB2312" w:hAnsi="仿宋_GB2312" w:cs="仿宋_GB231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人，每人每年100元的学生用书标准上报预算，共计需要</w:t>
      </w:r>
      <w:r>
        <w:rPr>
          <w:rFonts w:hint="eastAsia" w:ascii="仿宋_GB2312" w:hAnsi="仿宋_GB2312" w:cs="仿宋_GB2312"/>
          <w:szCs w:val="32"/>
          <w:lang w:val="en-US" w:eastAsia="zh-CN"/>
        </w:rPr>
        <w:t>1.56万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4.根据根据市级文件要求，全区公办学校都须完成护眼灯安装，我校现新增4个教学班，进行4间教室护眼灯安装，每盏灯0.12万元，每间教室12盏，共计5.76万元。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.①室外活动舞台，包含户外LED显示屏46.6万元、舞台基础改造9.78万元；②计算机教室改造：江尾小学计算机设备已经有7年的使用年限，计算机服务器已经老旧，现进行服务器升级改造，共22.745万元；③小学体质测试设施设备采购：量化、精准化体育教学10.875万元。合计采购教育教学设施设备专项经费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6.2022年“六一”儿童节活动补助经费1万元。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7.农村义务教育营养改善计划补助资金7.2万元。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8.（公用经费）2022年城乡教育补助经费专项资金44.75万元。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9.2022年义务教育困难学生生活补助专项资金0.25万元。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义务教育区免教科书经费5.23万元。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课后服务费专项资金</w:t>
      </w:r>
      <w:r>
        <w:rPr>
          <w:rFonts w:hint="eastAsia" w:ascii="仿宋_GB2312" w:hAnsi="仿宋_GB2312" w:cs="仿宋_GB2312"/>
          <w:szCs w:val="32"/>
          <w:lang w:val="en-US" w:eastAsia="zh-CN"/>
        </w:rPr>
        <w:t>27.17万元。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2022年特殊教育公用经费专项资金</w:t>
      </w:r>
      <w:r>
        <w:rPr>
          <w:rFonts w:hint="eastAsia" w:ascii="仿宋_GB2312" w:hAnsi="仿宋_GB2312" w:cs="仿宋_GB2312"/>
          <w:szCs w:val="32"/>
          <w:lang w:val="en-US" w:eastAsia="zh-CN"/>
        </w:rPr>
        <w:t>0.87万元。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教育管理专项经费</w:t>
      </w:r>
      <w:r>
        <w:rPr>
          <w:rFonts w:hint="eastAsia" w:ascii="仿宋_GB2312" w:hAnsi="仿宋_GB2312" w:cs="仿宋_GB2312"/>
          <w:szCs w:val="32"/>
          <w:lang w:val="en-US" w:eastAsia="zh-CN"/>
        </w:rPr>
        <w:t>0.8万元。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期末管理工作、教育统计及学籍管理工作、招生工作经费</w:t>
      </w:r>
      <w:r>
        <w:rPr>
          <w:rFonts w:hint="eastAsia" w:ascii="仿宋_GB2312" w:hAnsi="仿宋_GB2312" w:cs="仿宋_GB2312"/>
          <w:szCs w:val="32"/>
          <w:lang w:val="en-US" w:eastAsia="zh-CN"/>
        </w:rPr>
        <w:t>0.15万元。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2020年度校园安全管理工作目标责任考核补助资金</w:t>
      </w:r>
      <w:r>
        <w:rPr>
          <w:rFonts w:hint="eastAsia" w:ascii="仿宋_GB2312" w:hAnsi="仿宋_GB2312" w:cs="仿宋_GB2312"/>
          <w:szCs w:val="32"/>
          <w:lang w:val="en-US" w:eastAsia="zh-CN"/>
        </w:rPr>
        <w:t>0.35万元。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年初计划所有项目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100%实现支出，年末实际完成情况100%，详情如下：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.安保经费：年初预计支出12</w:t>
      </w:r>
      <w:r>
        <w:rPr>
          <w:rFonts w:hint="eastAsia" w:ascii="仿宋_GB2312" w:hAnsi="仿宋_GB2312" w:cs="仿宋_GB2312"/>
          <w:szCs w:val="32"/>
          <w:lang w:val="en-US" w:eastAsia="zh-CN"/>
        </w:rPr>
        <w:t>.61万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</w:t>
      </w:r>
      <w:r>
        <w:rPr>
          <w:rFonts w:hint="eastAsia" w:ascii="仿宋_GB2312" w:hAnsi="仿宋_GB2312" w:cs="仿宋_GB2312"/>
          <w:szCs w:val="32"/>
          <w:lang w:val="en-US" w:eastAsia="zh-CN"/>
        </w:rPr>
        <w:t>按照预算调标收回项目资金调减35%的要求，调减0.1万元，实际支出12.51万元。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.绿化管养经费：年初预计支出3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元，实际支出3</w:t>
      </w:r>
      <w:r>
        <w:rPr>
          <w:rFonts w:hint="eastAsia" w:ascii="仿宋_GB2312" w:hAnsi="仿宋_GB2312" w:cs="仿宋_GB231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.中小学教科书经费：年初预计支出1</w:t>
      </w:r>
      <w:r>
        <w:rPr>
          <w:rFonts w:hint="eastAsia" w:ascii="仿宋_GB2312" w:hAnsi="仿宋_GB2312" w:cs="仿宋_GB2312"/>
          <w:szCs w:val="32"/>
          <w:lang w:val="en-US" w:eastAsia="zh-CN"/>
        </w:rPr>
        <w:t>.56万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元，实际支出1</w:t>
      </w:r>
      <w:r>
        <w:rPr>
          <w:rFonts w:hint="eastAsia" w:ascii="仿宋_GB2312" w:hAnsi="仿宋_GB2312" w:cs="仿宋_GB2312"/>
          <w:szCs w:val="32"/>
          <w:lang w:val="en-US" w:eastAsia="zh-CN"/>
        </w:rPr>
        <w:t>.56万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4.中小学教室照明达标改造经费：年初预计支出5.76万元，实际支出5.76万元。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5.采购设施设备专项支出：年初预计90万元，按照预算调标收回项目资金调减35%的要求调减资金，调减33.62万元，年末财政资金紧张，未按时拨付指标金额，最终支出6.8万元。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6.2022年“六一”儿童节活动补助经费1万元，无结余。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7.农村义务教育营养改善计划补助资金7.2万元，无结余。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8.（公用经费）2022年城乡教育补助经费专项资金44.75万元，无结余。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9.2022年义务教育困难学生生活补助专项资金0.25万元，无结余。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义务教育区免教科书经费5.23万元，无结余。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课后服务费专项资金</w:t>
      </w:r>
      <w:r>
        <w:rPr>
          <w:rFonts w:hint="eastAsia" w:ascii="仿宋_GB2312" w:hAnsi="仿宋_GB2312" w:cs="仿宋_GB2312"/>
          <w:szCs w:val="32"/>
          <w:lang w:val="en-US" w:eastAsia="zh-CN"/>
        </w:rPr>
        <w:t>27.17万元，无结余。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2022年特殊教育公用经费专项资金</w:t>
      </w:r>
      <w:r>
        <w:rPr>
          <w:rFonts w:hint="eastAsia" w:ascii="仿宋_GB2312" w:hAnsi="仿宋_GB2312" w:cs="仿宋_GB2312"/>
          <w:szCs w:val="32"/>
          <w:lang w:val="en-US" w:eastAsia="zh-CN"/>
        </w:rPr>
        <w:t>0.87万元，无结余。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教育管理专项经费</w:t>
      </w:r>
      <w:r>
        <w:rPr>
          <w:rFonts w:hint="eastAsia" w:ascii="仿宋_GB2312" w:hAnsi="仿宋_GB2312" w:cs="仿宋_GB2312"/>
          <w:szCs w:val="32"/>
          <w:lang w:val="en-US" w:eastAsia="zh-CN"/>
        </w:rPr>
        <w:t>0.8万元，无结余。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期末管理工作、教育统计及学籍管理工作、招生工作经费</w:t>
      </w:r>
      <w:r>
        <w:rPr>
          <w:rFonts w:hint="eastAsia" w:ascii="仿宋_GB2312" w:hAnsi="仿宋_GB2312" w:cs="仿宋_GB2312"/>
          <w:szCs w:val="32"/>
          <w:lang w:val="en-US" w:eastAsia="zh-CN"/>
        </w:rPr>
        <w:t>0.15万元，无结余。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2020年度校园安全管理工作目标责任考核补助资金</w:t>
      </w:r>
      <w:r>
        <w:rPr>
          <w:rFonts w:hint="eastAsia" w:ascii="仿宋_GB2312" w:hAnsi="仿宋_GB2312" w:cs="仿宋_GB2312"/>
          <w:szCs w:val="32"/>
          <w:lang w:val="en-US" w:eastAsia="zh-CN"/>
        </w:rPr>
        <w:t>0.35万元，无结余。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22.项目结转结余资金49.50万元，分别是困难学生生活费补助专项资金0.038万元、2022年农村义务教育营养改善计划补助资金2.80万元、2022年城乡义务教育补助经费综合奖补中央直达资金（公参民改革奖补资金）46.66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1.对上级拨入的项目经费、专项拨款做到及时入账，及时上缴学校财务专户，不私设小金库。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2.对照项目绩效目标，对本单位所负责项目的执行过程以及资金使用、管理等情况进行有效的跟踪监控，确保项目执行不发生偏离。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3.按要求组织本单位及所属项目实施单位，对照项目绩效目标，定期采集分析项目绩效指标数据信息，及时分析项目实施进程、资金拨付与绩效目标实现进度，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跟踪监控绩效目标运行情况。根据绩效目标、预算编制、预算执行等对项目执行进度、绩效目标实现程度进行跟踪监控管理。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项目绩效目标，对本单位所负责项目的执行过程以及资金使用、管理等情况进行有效的跟踪监控，确保项目执行不发生偏离。按要求组织本单位及所属项目实施单位，对照项目绩效目标，定期采集分析项目绩效指标数据信息，及时分析项目实施进程、资金拨付与绩效目标实现进度，跟踪监控绩效目标运行情况。 根据绩效目标、预算编制、预算执行等对项目执行进度、绩效目标实现程度进行跟踪监控管理。</w:t>
      </w:r>
      <w:r>
        <w:rPr>
          <w:rFonts w:hint="eastAsia" w:ascii="仿宋_GB2312" w:hAnsi="仿宋_GB2312" w:eastAsia="仿宋_GB2312" w:cs="仿宋_GB2312"/>
          <w:szCs w:val="30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经济性分析</w:t>
      </w:r>
      <w:r>
        <w:rPr>
          <w:rFonts w:hint="eastAsia" w:ascii="仿宋_GB2312"/>
          <w:szCs w:val="32"/>
          <w:lang w:eastAsia="zh-CN"/>
        </w:rPr>
        <w:t>：履行职责</w:t>
      </w:r>
      <w:r>
        <w:rPr>
          <w:rFonts w:hint="eastAsia" w:ascii="仿宋_GB2312"/>
          <w:szCs w:val="32"/>
          <w:lang w:val="en-US" w:eastAsia="zh-CN"/>
        </w:rPr>
        <w:t>期间</w:t>
      </w:r>
      <w:r>
        <w:rPr>
          <w:rFonts w:hint="eastAsia" w:ascii="仿宋_GB2312"/>
          <w:szCs w:val="32"/>
          <w:lang w:eastAsia="zh-CN"/>
        </w:rPr>
        <w:t>对经济发展所带来</w:t>
      </w:r>
      <w:r>
        <w:rPr>
          <w:rFonts w:hint="eastAsia" w:ascii="仿宋_GB2312"/>
          <w:szCs w:val="32"/>
          <w:lang w:val="en-US" w:eastAsia="zh-CN"/>
        </w:rPr>
        <w:t>了直接或间接的影响。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效率性分析</w:t>
      </w:r>
      <w:r>
        <w:rPr>
          <w:rFonts w:hint="eastAsia" w:ascii="仿宋_GB2312"/>
          <w:szCs w:val="32"/>
          <w:lang w:eastAsia="zh-CN"/>
        </w:rPr>
        <w:t>：效益方面有待提高，全年</w:t>
      </w:r>
      <w:r>
        <w:rPr>
          <w:rFonts w:hint="eastAsia" w:ascii="仿宋_GB2312"/>
          <w:szCs w:val="32"/>
          <w:lang w:val="en-US" w:eastAsia="zh-CN"/>
        </w:rPr>
        <w:t>1-9月份未完成预算执行进度，但完成全年预算支出进度。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ascii="仿宋_GB2312"/>
          <w:szCs w:val="32"/>
        </w:rPr>
        <w:t>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效益性分析</w:t>
      </w:r>
      <w:r>
        <w:rPr>
          <w:rFonts w:hint="eastAsia" w:ascii="仿宋_GB2312"/>
          <w:szCs w:val="32"/>
          <w:lang w:eastAsia="zh-CN"/>
        </w:rPr>
        <w:t>：全年总支出与预期完成目标程度达</w:t>
      </w:r>
      <w:r>
        <w:rPr>
          <w:rFonts w:hint="eastAsia" w:ascii="仿宋_GB2312"/>
          <w:szCs w:val="32"/>
          <w:lang w:val="en-US" w:eastAsia="zh-CN"/>
        </w:rPr>
        <w:t>100%，基本支出与项目支出最大程度的提高了师生工作、学习的便利性、优异性。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专项立项依据充分；有资金管理办法，资金管理办法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Cs w:val="32"/>
        </w:rPr>
        <w:t>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资金使用合规，无截留、挪用等现象，资金使用产生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了相对应的</w:t>
      </w:r>
      <w:r>
        <w:rPr>
          <w:rFonts w:hint="eastAsia" w:ascii="仿宋_GB2312" w:hAnsi="仿宋_GB2312" w:eastAsia="仿宋_GB2312" w:cs="仿宋_GB2312"/>
          <w:szCs w:val="32"/>
        </w:rPr>
        <w:t>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每年年初项目预算做到精准，提前准备项目参数、考察项目可行性，通过项目绩效评价小组综合评价。按时效的执行202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年项目绩效工作。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改进单位项目施工时效，加快每一季度的预算执行进度。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CBD6E"/>
    <w:multiLevelType w:val="singleLevel"/>
    <w:tmpl w:val="9ABCBD6E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FA8470"/>
    <w:multiLevelType w:val="singleLevel"/>
    <w:tmpl w:val="E2FA84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FE5727"/>
    <w:multiLevelType w:val="singleLevel"/>
    <w:tmpl w:val="79FE57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08157C26"/>
    <w:rsid w:val="0A462E31"/>
    <w:rsid w:val="378A5996"/>
    <w:rsid w:val="38E816ED"/>
    <w:rsid w:val="5A3C6978"/>
    <w:rsid w:val="67600811"/>
    <w:rsid w:val="6AE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2323</Words>
  <Characters>2613</Characters>
  <Lines>0</Lines>
  <Paragraphs>0</Paragraphs>
  <TotalTime>5</TotalTime>
  <ScaleCrop>false</ScaleCrop>
  <LinksUpToDate>false</LinksUpToDate>
  <CharactersWithSpaces>2625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2023-04-06T07:59:00Z</cp:lastPrinted>
  <dcterms:modified xsi:type="dcterms:W3CDTF">2023-09-26T02:43:11Z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60AF1EBA80C74435956EE9B2354DC973_13</vt:lpwstr>
  </property>
</Properties>
</file>