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ind w:firstLine="594" w:firstLineChars="200"/>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ind w:firstLine="594" w:firstLineChars="200"/>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600" w:lineRule="exact"/>
        <w:ind w:firstLine="674" w:firstLineChars="200"/>
        <w:jc w:val="center"/>
        <w:textAlignment w:val="auto"/>
        <w:rPr>
          <w:rFonts w:ascii="方正小标宋_GBK" w:eastAsia="方正小标宋_GBK"/>
          <w:sz w:val="36"/>
          <w:szCs w:val="36"/>
        </w:rPr>
      </w:pPr>
      <w:r>
        <w:rPr>
          <w:rFonts w:hint="eastAsia" w:ascii="方正小标宋_GBK" w:eastAsia="方正小标宋_GBK"/>
          <w:sz w:val="36"/>
          <w:szCs w:val="36"/>
        </w:rPr>
        <w:t>项目支出绩效</w:t>
      </w:r>
      <w:r>
        <w:rPr>
          <w:rFonts w:hint="eastAsia" w:ascii="方正小标宋_GBK" w:eastAsia="方正小标宋_GBK"/>
          <w:sz w:val="36"/>
          <w:szCs w:val="36"/>
          <w:lang w:val="en-US" w:eastAsia="zh-CN"/>
        </w:rPr>
        <w:t>评价</w:t>
      </w:r>
      <w:r>
        <w:rPr>
          <w:rFonts w:hint="eastAsia" w:ascii="方正小标宋_GBK" w:eastAsia="方正小标宋_GBK"/>
          <w:sz w:val="36"/>
          <w:szCs w:val="36"/>
        </w:rPr>
        <w:t>报告</w:t>
      </w:r>
    </w:p>
    <w:p>
      <w:pPr>
        <w:keepNext w:val="0"/>
        <w:keepLines w:val="0"/>
        <w:pageBreakBefore w:val="0"/>
        <w:widowControl w:val="0"/>
        <w:kinsoku/>
        <w:wordWrap/>
        <w:overflowPunct/>
        <w:autoSpaceDE/>
        <w:autoSpaceDN/>
        <w:bidi w:val="0"/>
        <w:adjustRightInd/>
        <w:snapToGrid/>
        <w:spacing w:line="60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eastAsia="zh-CN"/>
        </w:rPr>
      </w:pPr>
      <w:r>
        <w:rPr>
          <w:rFonts w:hint="eastAsia" w:ascii="仿宋_GB2312"/>
          <w:szCs w:val="32"/>
        </w:rPr>
        <w:t>（一）项目基本情况简介</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项目名称：支持学前教育建设发展专项资金（基建资金）</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项目金额：3836200元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项目基本情况：</w:t>
      </w:r>
      <w:bookmarkStart w:id="0" w:name="_GoBack"/>
      <w:bookmarkEnd w:id="0"/>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昆明高新区第二幼儿园为财政全额拨款事业单位，为二级预算单位，办园规模18个教学班，我园林塘分园于2022年9月开园，其中3836200元基建经费未支付，经与昆明高新技术产业开发区企业综合服务部对接，该笔经费下达至我园零余额账户，由昆明高新技术产业开发区企业综合服务部对我园下达支付通知，由我园支付该笔基建经费。</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绩效目标设定及指标完成情况。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项目绩效目标为：支付高新二幼林塘分园基建经费3836200元，保证我园林塘分园顺利开园。指标完成情况：我园已根据昆明高新技术产业开发区企业综合服务部下达的支付通知按要求支出该笔基建经费3836200元，保证高新二幼林塘分园顺利开园。</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2022年，呈贡区财政共安排我园支持学前教育建设发展专项资金（基建资金）3836200元，其中公共财政预算资金3836200元。支出3836200元，结转0元。</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前期准备：成立项目实施工作领导小组、明确具体负责人、财务部门做好资金的管理和使用， 制定了《昆明高新区第二幼儿园财务管理制度》《昆明高新区第二幼儿园各工作岗位工作流程》，切实有效地保证了财政资金专款专用。</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招投标、调整、竣工验收：该项目具体进度由昆明高新技术产业开发区相关部门进行招投标及项目竣工验收，我园根据昆明高新技术产业开发区企业综合服务部下达的支付通知支付相关资金。</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项目管理情况：项目资金管理领导小组确定项目负责人，严格执行《昆明高新区第二幼儿园内部控制制度》《昆明高新区第二幼儿园‘三重一大’制度》《昆明高新区第二幼儿园财务制度》等制度，由园委会领导负责监督检查。</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经济性：此项基建经费为3836200元，由昆明高新技术产业开发区相关部门进行招投标，成本控制在预算范围之内。</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效率性：昆明高新技术产业开发区企业综合服务部下达的支付通知后，我园按通知要求及时支付该笔基建经费。</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效性：资金使用效果良好，各项个性指标均达到预定目标。</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仿宋_GB2312"/>
          <w:szCs w:val="32"/>
          <w:lang w:val="en-US" w:eastAsia="zh-CN"/>
        </w:rPr>
      </w:pPr>
      <w:r>
        <w:rPr>
          <w:rFonts w:hint="eastAsia" w:ascii="仿宋_GB2312"/>
          <w:szCs w:val="32"/>
          <w:lang w:val="en-US" w:eastAsia="zh-CN"/>
        </w:rPr>
        <w:t>可持续性：林塘分园按时开园，提供更多优质教育资源，呵护幼儿身心健康发展。</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（一）专项管理方面的问题。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（二）资金分配方面的问题。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（三）资金拨付方面的问题。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w:t>
      </w:r>
      <w:r>
        <w:rPr>
          <w:rFonts w:hint="eastAsia" w:ascii="仿宋_GB2312"/>
          <w:szCs w:val="32"/>
        </w:rPr>
        <w:t>资金使用方面的问题。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（一）后续工作计划。</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加强相关政策法规的学习，规范项目实施的各个环节，争取让项目的经济性、效率性、有效性、可持续性得到最佳实现。</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（二）主要经验做法、改进措施和有关建议等。</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1.主要经验及做法：</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针对项目人员存在更换的情况，建议项目实施单位在立项申请时提供2人以上项目负责人，保证人员的变动不会导致项目实施困难。</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2.建议：</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r>
        <w:rPr>
          <w:rFonts w:hint="eastAsia" w:ascii="仿宋_GB2312"/>
          <w:szCs w:val="32"/>
          <w:lang w:val="en-US" w:eastAsia="zh-CN"/>
        </w:rPr>
        <w:t>针对连续年度的项目，对于验收好的项目承办企业，建议上级部门在保证公平公正、安全可靠及性价比的同时，制定和出台其持续承办的相关规定，进一步保证项目技术的延续性，减少项目实施单位和承办单位的磨合时间。</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eastAsia" w:ascii="仿宋_GB2312"/>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jc w:val="right"/>
        <w:textAlignment w:val="auto"/>
        <w:rPr>
          <w:rFonts w:hint="eastAsia" w:ascii="仿宋_GB2312"/>
          <w:szCs w:val="32"/>
          <w:lang w:val="en-US" w:eastAsia="zh-CN"/>
        </w:rPr>
      </w:pPr>
      <w:r>
        <w:rPr>
          <w:rFonts w:hint="eastAsia" w:ascii="仿宋_GB2312"/>
          <w:szCs w:val="32"/>
          <w:lang w:val="en-US" w:eastAsia="zh-CN"/>
        </w:rPr>
        <w:t>昆明高新区第二幼儿园</w:t>
      </w:r>
    </w:p>
    <w:p>
      <w:pPr>
        <w:keepNext w:val="0"/>
        <w:keepLines w:val="0"/>
        <w:pageBreakBefore w:val="0"/>
        <w:widowControl w:val="0"/>
        <w:kinsoku/>
        <w:wordWrap/>
        <w:overflowPunct/>
        <w:topLinePunct/>
        <w:autoSpaceDE/>
        <w:autoSpaceDN/>
        <w:bidi w:val="0"/>
        <w:adjustRightInd/>
        <w:snapToGrid/>
        <w:ind w:firstLine="594" w:firstLineChars="200"/>
        <w:jc w:val="right"/>
        <w:textAlignment w:val="auto"/>
        <w:rPr>
          <w:rFonts w:hint="default" w:ascii="仿宋_GB2312"/>
          <w:szCs w:val="32"/>
          <w:lang w:val="en-US" w:eastAsia="zh-CN"/>
        </w:rPr>
      </w:pPr>
      <w:r>
        <w:rPr>
          <w:rFonts w:hint="eastAsia" w:ascii="仿宋_GB2312"/>
          <w:szCs w:val="32"/>
          <w:lang w:val="en-US" w:eastAsia="zh-CN"/>
        </w:rPr>
        <w:t>2023年4月6日</w:t>
      </w:r>
    </w:p>
    <w:p>
      <w:pPr>
        <w:keepNext w:val="0"/>
        <w:keepLines w:val="0"/>
        <w:pageBreakBefore w:val="0"/>
        <w:widowControl w:val="0"/>
        <w:kinsoku/>
        <w:wordWrap/>
        <w:overflowPunct/>
        <w:autoSpaceDE/>
        <w:autoSpaceDN/>
        <w:bidi w:val="0"/>
        <w:adjustRightInd/>
        <w:snapToGrid/>
        <w:ind w:firstLine="594" w:firstLineChars="200"/>
        <w:jc w:val="right"/>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WFkNDNhNWYwYTI1OGM5NzNhNzE0MjBiZmVkNTcifQ=="/>
  </w:docVars>
  <w:rsids>
    <w:rsidRoot w:val="00000000"/>
    <w:rsid w:val="05AE36CA"/>
    <w:rsid w:val="12A460C1"/>
    <w:rsid w:val="1A352420"/>
    <w:rsid w:val="278422F1"/>
    <w:rsid w:val="28B91C3C"/>
    <w:rsid w:val="291D6E50"/>
    <w:rsid w:val="2A3736E4"/>
    <w:rsid w:val="378A5996"/>
    <w:rsid w:val="39AF7EC8"/>
    <w:rsid w:val="4018086F"/>
    <w:rsid w:val="42051E29"/>
    <w:rsid w:val="4E656129"/>
    <w:rsid w:val="58DA63A6"/>
    <w:rsid w:val="5A3C6978"/>
    <w:rsid w:val="5FDC1FC3"/>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1473</Words>
  <Characters>1530</Characters>
  <Lines>0</Lines>
  <Paragraphs>0</Paragraphs>
  <TotalTime>4</TotalTime>
  <ScaleCrop>false</ScaleCrop>
  <LinksUpToDate>false</LinksUpToDate>
  <CharactersWithSpaces>1531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雨陌</cp:lastModifiedBy>
  <dcterms:modified xsi:type="dcterms:W3CDTF">2023-04-07T01:46:40Z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C277F543E7004D29BB512AEBC1615BF8_12</vt:lpwstr>
  </property>
</Properties>
</file>