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昆明滇池国家旅游度假区大渔幼儿园教学设施设备购置经费</w:t>
      </w:r>
      <w:r>
        <w:rPr>
          <w:rFonts w:hint="eastAsia" w:ascii="方正小标宋_GBK" w:eastAsia="方正小标宋_GBK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年度预算支出</w:t>
      </w:r>
      <w:r>
        <w:rPr>
          <w:rFonts w:hint="eastAsia" w:ascii="仿宋_GB2312"/>
          <w:szCs w:val="32"/>
          <w:lang w:val="en-US" w:eastAsia="zh-CN"/>
        </w:rPr>
        <w:t>开</w:t>
      </w:r>
      <w:r>
        <w:rPr>
          <w:rFonts w:hint="eastAsia" w:ascii="仿宋_GB2312"/>
          <w:szCs w:val="32"/>
        </w:rPr>
        <w:t>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教学设施设备购置经费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教学设施设备购置经费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共计20.353万元。</w:t>
      </w:r>
    </w:p>
    <w:p>
      <w:pPr>
        <w:widowControl/>
        <w:ind w:firstLine="594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教学设施设备购置经费主要用</w:t>
      </w:r>
      <w:r>
        <w:rPr>
          <w:rFonts w:hint="eastAsia" w:ascii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政府采购购置扩班所需的分区柜30个、小床21架、课桌椅120个、课桌30张、钢琴3架、一体机3台、消毒柜3个等一系列教学、行政和后勤的设施设备，以保障幼儿一日保教工作的顺利开展。扩建3个教学班级，充分、合理地利用好幼儿园的资源，为幼儿发展服务，为家长服务，为当地的教育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我园结合幼儿园实际，</w:t>
      </w:r>
      <w:r>
        <w:rPr>
          <w:rFonts w:hint="eastAsia" w:eastAsia="仿宋_GB2312"/>
          <w:kern w:val="0"/>
          <w:sz w:val="32"/>
          <w:szCs w:val="32"/>
        </w:rPr>
        <w:t>增添扩班所需的分区柜、小床、课桌椅、钢琴、一体机、消毒柜等一系列教学和生活所需的设施设备，以保障幼儿园一日保教工作的顺利开展。不断扩大幼儿园的办园规模，充分、合理地利用好幼儿园的资源，为幼儿发展服务，为家长服务，为当地的教育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2021年10月份进行2022年预算，2022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我园教学设施设备购置经费按照专款专用的原则，严格加强项目资金使用的监督检查，切实提高项目资金的使用效益，达到政府采购标准的严格按照政府采购的相关规定执行。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开展教学设施设备购置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各项目均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</w:t>
      </w:r>
      <w:r>
        <w:rPr>
          <w:rFonts w:hint="eastAsia" w:ascii="仿宋_GB2312"/>
          <w:szCs w:val="32"/>
          <w:lang w:eastAsia="zh-CN"/>
        </w:rPr>
        <w:t>教学设施设备购置经费</w:t>
      </w:r>
      <w:r>
        <w:rPr>
          <w:rFonts w:hint="eastAsia" w:ascii="仿宋_GB2312"/>
          <w:szCs w:val="32"/>
          <w:lang w:val="en-US" w:eastAsia="zh-CN"/>
        </w:rPr>
        <w:t>20.353</w:t>
      </w:r>
      <w:r>
        <w:rPr>
          <w:rFonts w:hint="eastAsia" w:ascii="仿宋_GB2312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幼儿活动高质量开展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园教学提升专项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幼儿和家长提供了优质的教育和服务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后续工作计划。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06AFDF-5491-4FF8-B390-7D3A3157A3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6EC9C3-98A8-4CED-A532-328BF56D11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BC18D7-F357-4235-81EF-87B649AC9A7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B2A4E28-DE9C-4EF6-8513-6745295AE4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BB8EC6-03F3-44A1-A3DD-623F87D7EB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107633AA"/>
    <w:rsid w:val="27DA20C5"/>
    <w:rsid w:val="2F55694E"/>
    <w:rsid w:val="32C901D0"/>
    <w:rsid w:val="33231251"/>
    <w:rsid w:val="33766603"/>
    <w:rsid w:val="342B32DA"/>
    <w:rsid w:val="34710675"/>
    <w:rsid w:val="35D9267E"/>
    <w:rsid w:val="35DF2155"/>
    <w:rsid w:val="378A5996"/>
    <w:rsid w:val="38D35896"/>
    <w:rsid w:val="3B51545B"/>
    <w:rsid w:val="48524506"/>
    <w:rsid w:val="57A10204"/>
    <w:rsid w:val="5A3C6978"/>
    <w:rsid w:val="66643743"/>
    <w:rsid w:val="67600811"/>
    <w:rsid w:val="6F607335"/>
    <w:rsid w:val="703D002A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1517</Words>
  <Characters>1562</Characters>
  <Lines>0</Lines>
  <Paragraphs>0</Paragraphs>
  <TotalTime>2</TotalTime>
  <ScaleCrop>false</ScaleCrop>
  <LinksUpToDate>false</LinksUpToDate>
  <CharactersWithSpaces>1566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Michelle</cp:lastModifiedBy>
  <dcterms:modified xsi:type="dcterms:W3CDTF">2023-09-25T01:33:50Z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A453B2882AAC47CF90D628ECD76A245B</vt:lpwstr>
  </property>
</Properties>
</file>