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昆明市呈贡区第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小学义务教育阶段学校公用经费项目支出绩效评价报告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随着呈贡区城市建设和发展的快速推进，教育改革学校布局规划，我校办学规模不断扩大，</w:t>
      </w:r>
      <w:r>
        <w:rPr>
          <w:rFonts w:hint="eastAsia" w:ascii="仿宋_GB2312"/>
          <w:szCs w:val="32"/>
          <w:lang w:val="en-US" w:eastAsia="zh-CN"/>
        </w:rPr>
        <w:t>2022年12月</w:t>
      </w:r>
      <w:r>
        <w:rPr>
          <w:rFonts w:hint="eastAsia" w:ascii="仿宋_GB2312"/>
          <w:szCs w:val="32"/>
        </w:rPr>
        <w:t>有教学班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52</w:t>
      </w:r>
      <w:r>
        <w:rPr>
          <w:rFonts w:hint="eastAsia" w:ascii="仿宋_GB2312"/>
          <w:szCs w:val="32"/>
        </w:rPr>
        <w:t>，学生</w:t>
      </w:r>
      <w:r>
        <w:rPr>
          <w:rFonts w:hint="eastAsia" w:ascii="仿宋_GB2312"/>
          <w:szCs w:val="32"/>
          <w:lang w:val="en-US" w:eastAsia="zh-CN"/>
        </w:rPr>
        <w:t>2420</w:t>
      </w:r>
      <w:r>
        <w:rPr>
          <w:rFonts w:ascii="仿宋_GB2312"/>
          <w:szCs w:val="32"/>
        </w:rPr>
        <w:t>人</w:t>
      </w:r>
      <w:r>
        <w:rPr>
          <w:rFonts w:hint="eastAsia" w:ascii="仿宋_GB2312"/>
          <w:szCs w:val="32"/>
        </w:rPr>
        <w:t>，在职在编教职工</w:t>
      </w:r>
      <w:r>
        <w:rPr>
          <w:rFonts w:hint="eastAsia" w:ascii="仿宋_GB2312"/>
          <w:szCs w:val="32"/>
          <w:lang w:val="en-US" w:eastAsia="zh-CN"/>
        </w:rPr>
        <w:t>123</w:t>
      </w:r>
      <w:r>
        <w:rPr>
          <w:rFonts w:hint="eastAsia" w:ascii="仿宋_GB2312"/>
          <w:szCs w:val="32"/>
        </w:rPr>
        <w:t>人，为了维持学校正常教育教学工作，更快更好地支持学校发展，促进教师队伍建设，提升学校办学水平，昆明市呈贡区财政局、昆明市呈贡区教育体育局按照教育统计学生人数，</w:t>
      </w:r>
      <w:r>
        <w:rPr>
          <w:rFonts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年度共计核拨公用经费</w:t>
      </w:r>
      <w:r>
        <w:rPr>
          <w:rFonts w:hint="eastAsia" w:ascii="仿宋_GB2312" w:hAnsi="仿宋_GB2312" w:cs="仿宋_GB2312"/>
          <w:szCs w:val="32"/>
          <w:lang w:val="en-US" w:eastAsia="zh-CN"/>
        </w:rPr>
        <w:t>2212580.09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其中本年拨入1564878.69元，上年结转结余647701.4元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/>
          <w:szCs w:val="32"/>
        </w:rPr>
        <w:t>项目全部启动，并按计划完成。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该项目主要保障学校的正常运转、完成教育教学活动及其它日常工作任务等方面的支出，</w:t>
      </w:r>
      <w:r>
        <w:rPr>
          <w:rFonts w:hint="eastAsia" w:ascii="仿宋_GB2312"/>
          <w:szCs w:val="32"/>
        </w:rPr>
        <w:t>支持学校发展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促进教师队伍建设，提升学校办学水平，全面弘扬社会主义核心价值观建设，优化育人环境，更好的传播教育教学文化，培养学生知识文化水平，促进学校的和谐发展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提高家长及学生对学校的满意度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我校在</w:t>
      </w:r>
      <w:r>
        <w:rPr>
          <w:rFonts w:hint="eastAsia" w:ascii="仿宋_GB2312"/>
          <w:szCs w:val="32"/>
          <w:lang w:val="en-US" w:eastAsia="zh-CN"/>
        </w:rPr>
        <w:t>2021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11</w:t>
      </w:r>
      <w:r>
        <w:rPr>
          <w:rFonts w:hint="eastAsia" w:ascii="仿宋_GB2312"/>
          <w:szCs w:val="32"/>
        </w:rPr>
        <w:t>月份进行</w:t>
      </w:r>
      <w:r>
        <w:rPr>
          <w:rFonts w:hint="eastAsia" w:ascii="仿宋_GB2312"/>
          <w:szCs w:val="32"/>
          <w:lang w:val="en-US" w:eastAsia="zh-CN"/>
        </w:rPr>
        <w:t>2022</w:t>
      </w:r>
      <w:r>
        <w:rPr>
          <w:rFonts w:hint="eastAsia" w:ascii="仿宋_GB2312"/>
          <w:szCs w:val="32"/>
        </w:rPr>
        <w:t>年预算，</w:t>
      </w:r>
      <w:r>
        <w:rPr>
          <w:rFonts w:hint="eastAsia" w:ascii="仿宋_GB2312"/>
          <w:szCs w:val="32"/>
          <w:lang w:val="en-US" w:eastAsia="zh-CN"/>
        </w:rPr>
        <w:t>2022</w:t>
      </w:r>
      <w:r>
        <w:rPr>
          <w:rFonts w:hint="eastAsia" w:ascii="仿宋_GB2312"/>
          <w:szCs w:val="32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公用经费严格按照公用经费管理办法的通知，按照使用范围规范列支，主要用于</w:t>
      </w:r>
      <w:r>
        <w:rPr>
          <w:rFonts w:hint="eastAsia" w:ascii="仿宋_GB2312"/>
          <w:color w:val="auto"/>
          <w:szCs w:val="32"/>
          <w:lang w:val="en-US" w:eastAsia="zh-CN"/>
        </w:rPr>
        <w:t>保障学校日常教学活动的开展，如</w:t>
      </w:r>
      <w:r>
        <w:rPr>
          <w:rFonts w:hint="eastAsia" w:ascii="仿宋_GB2312"/>
          <w:color w:val="auto"/>
          <w:szCs w:val="32"/>
        </w:rPr>
        <w:t>教学业务与管理、教学竞赛、教学质量提升及第三方评价的政府购买服务、办公、会议、印刷、教师培训、实验实习、文体活动、水电、取暖、交通差旅、邮电、教育信息化网络费用，仪器设备及图书资料等购置，学生课桌椅、床铺、食堂设施设备的零星补充购置及维修维护，房屋、建筑物、校园内道路、围墙、大门、运动场地、教室内教师讲台及仪器设备的日常维修维护，学校勤工俭学购买生产设备和工具，校园绿化美化、校园文化建设，学生健康体检费，校方责任保险，初中学业水平考试报名费，公务接待费，非财政供养人员经费(不得用于学校食堂工勤人员的工资支出) 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我校各项经费按照专款专用的原则，严格加强项目资金使用的监督检查，</w:t>
      </w:r>
      <w:r>
        <w:rPr>
          <w:rFonts w:hint="eastAsia" w:ascii="仿宋_GB2312"/>
          <w:szCs w:val="32"/>
          <w:lang w:val="en-US" w:eastAsia="zh-CN"/>
        </w:rPr>
        <w:t>未出现公用经费列支劳务费的情况，</w:t>
      </w:r>
      <w:r>
        <w:rPr>
          <w:rFonts w:hint="eastAsia" w:ascii="仿宋_GB2312"/>
          <w:szCs w:val="32"/>
        </w:rPr>
        <w:t>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我校各项经费主要是用于保障学生日常教育教学的正常开展，义务教育阶段学校公用经费用于学生活动的开展、学校水电费支付、办公用品购买，特殊教育公用经费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主要用于随班就读和送教残疾学生的各项日常教育活动支出</w:t>
      </w:r>
      <w:r>
        <w:rPr>
          <w:rFonts w:hint="eastAsia" w:ascii="仿宋_GB2312" w:hAnsi="仿宋_GB2312" w:cs="仿宋_GB2312"/>
          <w:color w:val="auto"/>
          <w:szCs w:val="32"/>
        </w:rPr>
        <w:t>，</w:t>
      </w:r>
      <w:r>
        <w:rPr>
          <w:rFonts w:hint="eastAsia" w:ascii="仿宋_GB2312" w:hAnsi="仿宋_GB2312" w:cs="仿宋_GB2312"/>
          <w:szCs w:val="32"/>
        </w:rPr>
        <w:t>城乡义务教育补助经费（校舍改造）专项资金</w:t>
      </w:r>
      <w:r>
        <w:rPr>
          <w:rFonts w:hint="eastAsia" w:ascii="仿宋_GB2312" w:hAnsi="仿宋_GB2312" w:cs="仿宋_GB2312"/>
          <w:szCs w:val="32"/>
          <w:lang w:val="en-US" w:eastAsia="zh-CN"/>
        </w:rPr>
        <w:t>主要用于学校改善校园环境支出。</w:t>
      </w:r>
      <w:r>
        <w:rPr>
          <w:rFonts w:hint="eastAsia" w:ascii="仿宋_GB2312" w:hAnsi="仿宋_GB2312" w:cs="仿宋_GB2312"/>
          <w:szCs w:val="32"/>
        </w:rPr>
        <w:t>达到政府采购标准的我校严格按照政府采购程序申报政府采购，</w:t>
      </w:r>
      <w:r>
        <w:rPr>
          <w:rFonts w:hint="eastAsia" w:ascii="仿宋_GB2312"/>
          <w:szCs w:val="32"/>
        </w:rPr>
        <w:t>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我校城乡义务教育学校公用经费</w:t>
      </w:r>
      <w:r>
        <w:rPr>
          <w:rFonts w:hint="eastAsia" w:ascii="仿宋_GB2312"/>
          <w:szCs w:val="32"/>
          <w:lang w:val="en-US" w:eastAsia="zh-CN"/>
        </w:rPr>
        <w:t>1717630.29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 w:hAnsi="仿宋_GB2312" w:cs="仿宋_GB2312"/>
          <w:szCs w:val="32"/>
        </w:rPr>
        <w:t>特殊教育公用经费</w:t>
      </w:r>
      <w:r>
        <w:rPr>
          <w:rFonts w:hint="eastAsia" w:ascii="仿宋_GB2312" w:hAnsi="仿宋_GB2312" w:cs="仿宋_GB2312"/>
          <w:szCs w:val="32"/>
          <w:lang w:val="en-US" w:eastAsia="zh-CN"/>
        </w:rPr>
        <w:t>107549.8</w:t>
      </w:r>
      <w:r>
        <w:rPr>
          <w:rFonts w:hint="eastAsia" w:ascii="仿宋_GB2312" w:hAnsi="仿宋_GB2312" w:cs="仿宋_GB2312"/>
          <w:szCs w:val="32"/>
        </w:rPr>
        <w:t>元，城乡义务教育补助经费（校舍改造）</w:t>
      </w:r>
      <w:r>
        <w:rPr>
          <w:rFonts w:hint="eastAsia" w:ascii="仿宋_GB2312" w:hAnsi="仿宋_GB2312" w:cs="仿宋_GB2312"/>
          <w:szCs w:val="32"/>
          <w:lang w:val="en-US" w:eastAsia="zh-CN"/>
        </w:rPr>
        <w:t>208000</w:t>
      </w:r>
      <w:r>
        <w:rPr>
          <w:rFonts w:ascii="仿宋_GB2312" w:hAnsi="仿宋_GB2312" w:cs="仿宋_GB2312"/>
          <w:szCs w:val="32"/>
        </w:rPr>
        <w:t>元</w:t>
      </w:r>
      <w:r>
        <w:rPr>
          <w:rFonts w:hint="eastAsia" w:ascii="仿宋_GB2312" w:hAnsi="仿宋_GB2312" w:cs="仿宋_GB2312"/>
          <w:szCs w:val="32"/>
        </w:rPr>
        <w:t>，呈贡区中小学（幼儿园）基础建设专项资金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校舍改造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  <w:lang w:val="en-US" w:eastAsia="zh-CN"/>
        </w:rPr>
        <w:t>19000元，中小学幼儿园教学设施设备专项资金130400元，呈贡区中小学（幼儿园）基础建设专项资金（消防安全检测及维保补助）30000元，</w:t>
      </w:r>
      <w:r>
        <w:rPr>
          <w:rFonts w:hint="eastAsia" w:ascii="仿宋_GB2312" w:hAnsi="仿宋_GB2312" w:cs="仿宋_GB2312"/>
          <w:szCs w:val="32"/>
        </w:rPr>
        <w:t>共计</w:t>
      </w:r>
      <w:r>
        <w:rPr>
          <w:rFonts w:hint="eastAsia" w:ascii="仿宋_GB2312" w:hAnsi="仿宋_GB2312" w:cs="仿宋_GB2312"/>
          <w:szCs w:val="32"/>
          <w:lang w:val="en-US" w:eastAsia="zh-CN"/>
        </w:rPr>
        <w:t>2212580.09</w:t>
      </w:r>
      <w:r>
        <w:rPr>
          <w:rFonts w:hint="eastAsia" w:ascii="仿宋_GB2312" w:hAnsi="仿宋_GB2312" w:cs="仿宋_GB2312"/>
          <w:szCs w:val="32"/>
        </w:rPr>
        <w:t>元。</w:t>
      </w:r>
      <w:r>
        <w:rPr>
          <w:rFonts w:hint="eastAsia" w:ascii="仿宋_GB2312"/>
          <w:szCs w:val="32"/>
        </w:rPr>
        <w:t>财政全额拨付到账。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到位，保证学校教育教学工作正常运行，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Cs w:val="32"/>
        </w:rPr>
        <w:t>资金拨付方面的问题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财政足额及时拨付，无滞留、闲置等现象</w:t>
      </w:r>
      <w:r>
        <w:rPr>
          <w:rFonts w:hint="eastAsia" w:ascii="楷体_GB2312" w:hAnsi="楷体_GB2312" w:eastAsia="楷体_GB2312" w:cs="楷体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Cs w:val="32"/>
        </w:rPr>
        <w:t>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资金使用合规，无截留、挪用等现象，资金使用产生效益。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</w:rPr>
        <w:t>（二）主要经验做法、改进措施和有关建议等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建议区财政部门加大对预算编制相关工作培训力度，使预算部门在编制部门预算时能较好地根据单位年度计划，结合财政部门预算安排情况，科学设定项目经费支出绩效目标，提高预算与实际的吻合度。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eastAsia="zh-CN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938BA"/>
    <w:multiLevelType w:val="singleLevel"/>
    <w:tmpl w:val="BAE938BA"/>
    <w:lvl w:ilvl="0" w:tentative="0">
      <w:start w:val="3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9AA98C0"/>
    <w:multiLevelType w:val="singleLevel"/>
    <w:tmpl w:val="09AA98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4E8B666"/>
    <w:multiLevelType w:val="singleLevel"/>
    <w:tmpl w:val="64E8B6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GM1NTQ3NmNjNzhhYzBlOTI2NjQ0N2M5OGU3ZDYifQ=="/>
  </w:docVars>
  <w:rsids>
    <w:rsidRoot w:val="00000000"/>
    <w:rsid w:val="05AE36CA"/>
    <w:rsid w:val="06257970"/>
    <w:rsid w:val="073C31C4"/>
    <w:rsid w:val="149F0440"/>
    <w:rsid w:val="20900A07"/>
    <w:rsid w:val="29281FE9"/>
    <w:rsid w:val="378A5996"/>
    <w:rsid w:val="3ED6070E"/>
    <w:rsid w:val="4C771B75"/>
    <w:rsid w:val="5A3C6978"/>
    <w:rsid w:val="5B1769FD"/>
    <w:rsid w:val="67096BCC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2230</Words>
  <Characters>2334</Characters>
  <Lines>0</Lines>
  <Paragraphs>0</Paragraphs>
  <TotalTime>0</TotalTime>
  <ScaleCrop>false</ScaleCrop>
  <LinksUpToDate>false</LinksUpToDate>
  <CharactersWithSpaces>2335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2023-04-06T08:26:00Z</cp:lastPrinted>
  <dcterms:modified xsi:type="dcterms:W3CDTF">2023-09-26T08:34:42Z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B2C842688FF44D48A516D9F4506F573F</vt:lpwstr>
  </property>
</Properties>
</file>