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呈贡区财政投资重点建设项目（公共基础设施建设）前期费专项资金项目支出绩效报告（自评）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呈贡区“CG-WJY-R2-01-01（中华小学）”建设项目位于呈贡春融街与碧潭街交叉口东南方向，占地面积约34亩，拟建成24班小学，总建筑面积约38000㎡，建设内容主要为教学楼、综合楼、地下停车库、围墙等，项目总投资2.68亿元，由昆明新投建设项目管理有限公司负责代建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1.绩效目标设定情况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本次安排项目区级专项资金共228.5万元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截</w:t>
      </w:r>
      <w:r>
        <w:rPr>
          <w:rFonts w:hint="default" w:ascii="Times New Roman" w:hAnsi="Times New Roman" w:cs="Times New Roman"/>
          <w:szCs w:val="32"/>
          <w:lang w:eastAsia="zh-CN"/>
        </w:rPr>
        <w:t>止</w:t>
      </w:r>
      <w:r>
        <w:rPr>
          <w:rFonts w:hint="default" w:ascii="Times New Roman" w:hAnsi="Times New Roman" w:cs="Times New Roman"/>
          <w:szCs w:val="32"/>
        </w:rPr>
        <w:t>2022年12月底，228.5万元已全部支付，其中：12万元支付至云南省设计院集团有限公司用于可行性研究报告编制，216.5万元拨付至项目代建单位（即：昆明新投建设项目管理有限公司），用于支付学校项目建设进度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呈贡区“CG-WJY-R2-01-01（中华小学）”建设项目总投资约2.68亿元，项目执行过程中，严格按照2018年修订的《昆明市呈贡区教育局财务管理规定》对项目经费实行专款专用，强化资金使用的监督，包括经费预算和计划的审核审批，预算执行情况和程序的监督，确保了资金的使用效率和项目的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对于基础设施建设项目能够严格执行勘察、设计、项目法人责任制，招投标制、合同制、工程监理制、工程质量监督制等基本建设程序，本着科学合理、符合中小学发展的理念进行设计，在施工过程中，严防工程质量问题及安全事故发生，严格按建筑规范要求进行规划建设及施工，确保工程按质按量实施，并聘请了造价单位对项目施工过程进行了跟踪审计，项目结束后由区审计局安排中介机构对竣工决算进行最终审计，确保投资的真实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（二）项目管理情况分析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项目经区政府批准同意委托区级平台公司（即：昆明新投建设项目管理有限公司）代建，负责项目前期阶段、施工阶段、竣工阶段所有工程相关事项，直至工程竣工验收交付使用。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Cs w:val="32"/>
        </w:rPr>
        <w:t>项目成本（预算）控制情况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项目成本控制在预算范围内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Cs w:val="32"/>
        </w:rPr>
        <w:t>项目成本（预算）节约情况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项目于2022年12月6日开工，计划在2023年6月30日前建成并投入使用。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（三）项目的有效性分析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就项目绩效总目标而言，支出进度符合预期目标要求。项目资金使用有效推进了项目建设顺利进行，同时确保了春节期间农民工工资的顺利拨付。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（四）项目可持续性分析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项目的实施符合2018版《昆明市呈贡区中小学、幼儿园建设布点布局专项规划（修编）》成果要求，进一步解决了呈贡雨花片区适龄儿童、子女就近上学难的问题，让更多孩子接受高质量的学前教育及义务教育，更多孩子感受到了政府的温暖，健康快乐的成长，取得了一定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Cs w:val="32"/>
        </w:rPr>
        <w:t>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专项立项依据充分；有资金管理办法，资金管理办法规范等</w:t>
      </w:r>
      <w:r>
        <w:rPr>
          <w:rFonts w:hint="default" w:ascii="Times New Roman" w:hAnsi="Times New Roman" w:cs="Times New Roman"/>
          <w:szCs w:val="32"/>
          <w:lang w:eastAsia="zh-CN"/>
        </w:rPr>
        <w:t>，无存在问题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资金分配方面的问题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资金分配合理，突出重点，公平公正；无散小差现象；资金分配和使用方向与资金管理办法相符</w:t>
      </w:r>
      <w:r>
        <w:rPr>
          <w:rFonts w:hint="default" w:ascii="Times New Roman" w:hAnsi="Times New Roman" w:cs="Times New Roman"/>
          <w:szCs w:val="32"/>
          <w:lang w:eastAsia="zh-CN"/>
        </w:rPr>
        <w:t>，无存在问题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Cs w:val="32"/>
        </w:rPr>
        <w:t>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下一步我局将继续加强项目资金使用与管理，认真谋划好项目，加快推进二期项目建设。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7F647D"/>
    <w:rsid w:val="00074912"/>
    <w:rsid w:val="007C71FE"/>
    <w:rsid w:val="007F647D"/>
    <w:rsid w:val="00C9785F"/>
    <w:rsid w:val="00E00D46"/>
    <w:rsid w:val="00F763F0"/>
    <w:rsid w:val="05AE36CA"/>
    <w:rsid w:val="1101587A"/>
    <w:rsid w:val="2CEB36B3"/>
    <w:rsid w:val="378A5996"/>
    <w:rsid w:val="42D61235"/>
    <w:rsid w:val="4E061545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1338</Words>
  <Characters>1416</Characters>
  <Lines>10</Lines>
  <Paragraphs>2</Paragraphs>
  <TotalTime>60</TotalTime>
  <ScaleCrop>false</ScaleCrop>
  <LinksUpToDate>false</LinksUpToDate>
  <CharactersWithSpaces>1416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2023-09-22T07:47:46Z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DB1D97E83CB647B6B60C51AF0581B21F</vt:lpwstr>
  </property>
</Properties>
</file>