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年三名工程经费支出绩效评价报告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10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hint="eastAsia" w:ascii="黑体" w:eastAsia="黑体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根据昆明市呈贡区财政局《关于对20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年度预算支出开展绩效自评工作的通知》文件要求，区教育体育局认真开展绩效自评工作。现将20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年度呈贡区三名工程经费支出绩效自评情况汇报如下：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10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1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全面贯彻落实昆明市《昆明市名校名师名长工程实施方案》，不断推进教育创新，着力提升呈贡教育品质，2017年8月，由中共昆明市呈贡区委、昆明市呈贡区人民政府印发了《昆明市呈贡区实施名校名师名长工程的实施方案的通知》(呈发（〔2017〕13号），在全区范围内实施打造名校、名师、名长的“三名工程”，明确全面实施呈贡区名校、名师、名长工程“212”行动计划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已</w:t>
      </w:r>
      <w:r>
        <w:rPr>
          <w:rFonts w:ascii="Times New Roman" w:hAnsi="Times New Roman" w:eastAsia="仿宋_GB2312" w:cs="Times New Roman"/>
          <w:sz w:val="32"/>
          <w:szCs w:val="32"/>
        </w:rPr>
        <w:t>培育、引进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所区级示范引领名校；培养、引进、评选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94</w:t>
      </w:r>
      <w:r>
        <w:rPr>
          <w:rFonts w:ascii="Times New Roman" w:hAnsi="Times New Roman" w:eastAsia="仿宋_GB2312" w:cs="Times New Roman"/>
          <w:sz w:val="32"/>
          <w:szCs w:val="32"/>
        </w:rPr>
        <w:t>名教学名师和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名名校长。通过发挥其支撑示范引领作用，促进全区教育发展水平的整体提升。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1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《昆明市呈贡区名校（园）补助资金、校长基金使用管理规定（暂行)》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，按照中学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300万元，小学200万元，幼儿园100万元标准，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一次性给予名校（园）补助资金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；五年任期内按照中学50万元，小学30万元，幼儿园20万元标准，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每学年给予名校（园）校长基金。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目前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，呈贡区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核拨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区级名校（园）补助资金、校长基金共计6260万元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名校（园）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补助资金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共计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4100万元，校长基金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共计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2160万元，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为名校软、硬件双提升提供保障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。2022年5月，根据相关政策，年初预算的2022年度名校校长基金共计650万元已交回财政。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2022年12月收回20所中小学、幼儿园呈贡区名校（园）“校长基金”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结余资金1292.808754万元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为了更好地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家督各校（园）规范使用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名校（园）“校长基金”</w:t>
      </w:r>
      <w:r>
        <w:rPr>
          <w:rFonts w:ascii="Times New Roman" w:hAnsi="Times New Roman" w:eastAsia="仿宋_GB2312" w:cs="Times New Roman"/>
          <w:sz w:val="32"/>
          <w:szCs w:val="32"/>
        </w:rPr>
        <w:t>用于名校建设、名师培养、名长培育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，最大效能</w:t>
      </w:r>
      <w:r>
        <w:rPr>
          <w:rFonts w:ascii="Times New Roman" w:hAnsi="Times New Roman" w:eastAsia="仿宋_GB2312" w:cs="Times New Roman"/>
          <w:sz w:val="32"/>
          <w:szCs w:val="32"/>
        </w:rPr>
        <w:t>发挥名校、名师、名长的引领辐射带动作用，呈贡区20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年财政安排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三名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工程经费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3.29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用于“三名”工程专项资金审计工作。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spacing w:line="560" w:lineRule="exact"/>
        <w:ind w:firstLine="61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10" w:firstLineChars="200"/>
        <w:textAlignment w:val="auto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相关经费的使用，用于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审计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20所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名校（园）“校长基金”使用情况：是否依法依规用于</w:t>
      </w:r>
      <w:r>
        <w:rPr>
          <w:rFonts w:ascii="Times New Roman" w:hAnsi="Times New Roman" w:eastAsia="仿宋_GB2312" w:cs="Times New Roman"/>
          <w:sz w:val="32"/>
          <w:szCs w:val="32"/>
        </w:rPr>
        <w:t>基础设施建设、设施设备添置、校园文化建设，用于名师、名长组建工作室的工作经费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hint="eastAsia" w:ascii="仿宋_GB2312" w:hAnsi="仿宋" w:cs="仿宋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eastAsia="zh-CN"/>
        </w:rPr>
        <w:t>安排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三名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工程经费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3.29万元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 w:hAnsi="仿宋" w:cs="仿宋"/>
          <w:szCs w:val="32"/>
          <w:lang w:eastAsia="zh-CN"/>
        </w:rPr>
        <w:t>支付审计公司</w:t>
      </w:r>
      <w:r>
        <w:rPr>
          <w:rFonts w:hint="eastAsia" w:ascii="仿宋_GB2312"/>
          <w:szCs w:val="32"/>
        </w:rPr>
        <w:t>实行专款专用、专户管理，项目资金支出严格履行财政专项资金支付的相关审批流程。共</w:t>
      </w:r>
      <w:r>
        <w:rPr>
          <w:rFonts w:hint="eastAsia" w:ascii="仿宋_GB2312" w:hAnsi="仿宋" w:cs="仿宋"/>
          <w:szCs w:val="32"/>
          <w:lang w:eastAsia="zh-CN"/>
        </w:rPr>
        <w:t>支付审计</w:t>
      </w:r>
      <w:r>
        <w:rPr>
          <w:rFonts w:hint="eastAsia" w:ascii="仿宋_GB2312" w:hAnsi="仿宋" w:cs="仿宋"/>
          <w:szCs w:val="32"/>
        </w:rPr>
        <w:t>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3.29</w:t>
      </w:r>
      <w:r>
        <w:rPr>
          <w:rFonts w:hint="eastAsia" w:ascii="仿宋_GB2312" w:hAnsi="仿宋" w:cs="仿宋"/>
          <w:szCs w:val="32"/>
          <w:lang w:val="en-US" w:eastAsia="zh-CN"/>
        </w:rPr>
        <w:t>万</w:t>
      </w:r>
      <w:r>
        <w:rPr>
          <w:rFonts w:hint="eastAsia" w:ascii="仿宋_GB2312" w:hAnsi="仿宋" w:cs="仿宋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仿宋_GB2312"/>
          <w:szCs w:val="32"/>
        </w:rPr>
        <w:t>项目严格按照相关政策和制度执行，根据工作实际，经核定后及时发放资金，未出现截留、挪用等现象。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述经费在收支预算执行过程中，我们严格按照相关程序办理，支出依据合规，同时加强对项目资金的管理，严格按项目计划和规定用途确保专款专用，充分发挥财政资金的使用效益。此专项经费使用不拖欠、不截留，支出规范、合理，无虚列、虚报冒领和挤占挪用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三名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工程经费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/>
          <w:szCs w:val="32"/>
        </w:rPr>
        <w:t>实行专款专用、专户管理，项目资金支出严格履行财政专项资金支付的相关审批流程。共</w:t>
      </w:r>
      <w:r>
        <w:rPr>
          <w:rFonts w:hint="eastAsia" w:ascii="仿宋_GB2312" w:hAnsi="仿宋" w:cs="仿宋"/>
          <w:szCs w:val="32"/>
          <w:lang w:eastAsia="zh-CN"/>
        </w:rPr>
        <w:t>支付审计公司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3.92</w:t>
      </w:r>
      <w:bookmarkEnd w:id="0"/>
      <w:r>
        <w:rPr>
          <w:rFonts w:hint="eastAsia" w:ascii="仿宋_GB2312" w:hAnsi="仿宋" w:cs="仿宋"/>
          <w:szCs w:val="32"/>
          <w:lang w:val="en-US" w:eastAsia="zh-CN"/>
        </w:rPr>
        <w:t>万</w:t>
      </w:r>
      <w:r>
        <w:rPr>
          <w:rFonts w:hint="eastAsia" w:ascii="仿宋_GB2312" w:hAnsi="仿宋" w:cs="仿宋"/>
          <w:szCs w:val="32"/>
        </w:rPr>
        <w:t>元</w:t>
      </w:r>
      <w:r>
        <w:rPr>
          <w:rFonts w:hint="eastAsia" w:ascii="仿宋_GB2312"/>
          <w:szCs w:val="32"/>
        </w:rPr>
        <w:t>，资金落实到位。区教育体育局对收到的专项资金，实行专款专用、专户管理，项目资金支出严格履行财政专项资金支付的相关审批流程。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610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582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查找三名工程项目实施存在问题，并提出相应的对策建议，更加充分地发挥三名工程作用。结合新区教育发展实际，认真开展调查需求调研，让三名工程实施得更具针对性、实效性。下一步工作中，要更好地做好经费的预算，最大限度地发挥财政资金的作用。</w:t>
      </w:r>
    </w:p>
    <w:p>
      <w:pPr>
        <w:keepNext w:val="0"/>
        <w:keepLines w:val="0"/>
        <w:pageBreakBefore w:val="0"/>
        <w:widowControl w:val="0"/>
        <w:tabs>
          <w:tab w:val="left" w:pos="2428"/>
          <w:tab w:val="center" w:pos="4216"/>
        </w:tabs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428"/>
          <w:tab w:val="center" w:pos="4216"/>
        </w:tabs>
        <w:kinsoku/>
        <w:wordWrap/>
        <w:overflowPunct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昆明市呈贡区教育体育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发展综合服务中心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right="592" w:firstLine="5185" w:firstLineChars="17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08" w:charSpace="-3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D6BCA"/>
    <w:multiLevelType w:val="singleLevel"/>
    <w:tmpl w:val="ABAD6BC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3443B5"/>
    <w:multiLevelType w:val="singleLevel"/>
    <w:tmpl w:val="433443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2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71B1"/>
    <w:rsid w:val="026D7879"/>
    <w:rsid w:val="05AE36CA"/>
    <w:rsid w:val="09433A01"/>
    <w:rsid w:val="0BF5582E"/>
    <w:rsid w:val="128E243B"/>
    <w:rsid w:val="215F2751"/>
    <w:rsid w:val="242B3ED9"/>
    <w:rsid w:val="28C93D88"/>
    <w:rsid w:val="2AFE3088"/>
    <w:rsid w:val="2F67B562"/>
    <w:rsid w:val="378A5996"/>
    <w:rsid w:val="381F18B6"/>
    <w:rsid w:val="409E673A"/>
    <w:rsid w:val="42AC0353"/>
    <w:rsid w:val="45DF7599"/>
    <w:rsid w:val="47EB37ED"/>
    <w:rsid w:val="4CB91731"/>
    <w:rsid w:val="580E5B0F"/>
    <w:rsid w:val="5A3C6978"/>
    <w:rsid w:val="5DF74372"/>
    <w:rsid w:val="5EDA2802"/>
    <w:rsid w:val="5F6F51AD"/>
    <w:rsid w:val="632B06CE"/>
    <w:rsid w:val="67600811"/>
    <w:rsid w:val="680D022F"/>
    <w:rsid w:val="68E433A9"/>
    <w:rsid w:val="69EC4022"/>
    <w:rsid w:val="6AC10AE7"/>
    <w:rsid w:val="6CF229CA"/>
    <w:rsid w:val="6DF51801"/>
    <w:rsid w:val="6F6B1067"/>
    <w:rsid w:val="74716076"/>
    <w:rsid w:val="75558D6F"/>
    <w:rsid w:val="791E4A8B"/>
    <w:rsid w:val="7FDF11F0"/>
    <w:rsid w:val="BFFF23DE"/>
    <w:rsid w:val="BFFF4809"/>
    <w:rsid w:val="DFCCEC36"/>
    <w:rsid w:val="FC1CBF49"/>
    <w:rsid w:val="FD5F1651"/>
    <w:rsid w:val="FFB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jyjcg</dc:creator>
  <cp:lastModifiedBy>kmcg</cp:lastModifiedBy>
  <dcterms:modified xsi:type="dcterms:W3CDTF">2023-09-26T11:25:16Z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