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adjustRightInd w:val="0"/>
        <w:snapToGrid w:val="0"/>
        <w:spacing w:line="560" w:lineRule="exact"/>
        <w:jc w:val="center"/>
        <w:rPr>
          <w:rFonts w:hint="eastAsia" w:hAnsi="Times New Roman" w:eastAsia="方正小标宋简体" w:asciiTheme="majorBidi" w:cstheme="majorBidi"/>
          <w:sz w:val="44"/>
          <w:szCs w:val="44"/>
          <w:lang w:eastAsia="zh-CN"/>
        </w:rPr>
      </w:pPr>
      <w:r>
        <w:rPr>
          <w:rFonts w:hAnsi="Times New Roman" w:eastAsia="方正小标宋简体" w:asciiTheme="majorBidi" w:cstheme="majorBidi"/>
          <w:sz w:val="44"/>
          <w:szCs w:val="44"/>
          <w:lang w:eastAsia="zh-CN"/>
        </w:rPr>
        <w:t>昆明市呈贡区教育体育</w:t>
      </w:r>
      <w:r>
        <w:rPr>
          <w:rFonts w:hint="eastAsia" w:hAnsi="Times New Roman" w:eastAsia="方正小标宋简体" w:asciiTheme="majorBidi" w:cstheme="majorBidi"/>
          <w:sz w:val="44"/>
          <w:szCs w:val="44"/>
          <w:lang w:eastAsia="zh-CN"/>
        </w:rPr>
        <w:t>发展综合服务中心</w:t>
      </w:r>
    </w:p>
    <w:p>
      <w:pPr>
        <w:spacing w:line="560" w:lineRule="exact"/>
        <w:ind w:left="983" w:right="983"/>
        <w:jc w:val="center"/>
        <w:rPr>
          <w:rFonts w:ascii="Times New Roman" w:hAnsi="Times New Roman" w:eastAsia="方正小标宋简体" w:cs="Times New Roman"/>
          <w:sz w:val="44"/>
          <w:szCs w:val="44"/>
          <w:lang w:eastAsia="zh-CN"/>
        </w:rPr>
      </w:pPr>
      <w:r>
        <w:rPr>
          <w:rFonts w:hAnsi="Times New Roman" w:eastAsia="方正小标宋简体" w:asciiTheme="majorBidi" w:cstheme="majorBidi"/>
          <w:sz w:val="44"/>
          <w:szCs w:val="44"/>
          <w:lang w:eastAsia="zh-CN"/>
        </w:rPr>
        <w:t>关于</w:t>
      </w:r>
      <w:r>
        <w:rPr>
          <w:rFonts w:hint="eastAsia" w:hAnsi="Times New Roman" w:eastAsia="方正小标宋简体" w:asciiTheme="majorBidi" w:cstheme="majorBidi"/>
          <w:sz w:val="44"/>
          <w:szCs w:val="44"/>
          <w:lang w:eastAsia="zh-CN"/>
        </w:rPr>
        <w:t>昆明市外国语学校呈贡校区</w:t>
      </w:r>
      <w:r>
        <w:rPr>
          <w:rFonts w:hint="eastAsia" w:ascii="Times New Roman" w:hAnsi="Times New Roman" w:eastAsia="方正小标宋简体" w:cs="Times New Roman"/>
          <w:sz w:val="44"/>
          <w:szCs w:val="44"/>
          <w:lang w:val="en-US" w:eastAsia="zh-CN"/>
        </w:rPr>
        <w:t>2022年</w:t>
      </w:r>
      <w:r>
        <w:rPr>
          <w:rFonts w:ascii="Times New Roman" w:hAnsi="Times New Roman" w:eastAsia="方正小标宋简体" w:cs="Times New Roman"/>
          <w:sz w:val="44"/>
          <w:szCs w:val="44"/>
          <w:lang w:eastAsia="zh-CN"/>
        </w:rPr>
        <w:t>合作办学经费</w:t>
      </w:r>
    </w:p>
    <w:p>
      <w:pPr>
        <w:spacing w:line="560" w:lineRule="exact"/>
        <w:ind w:left="983" w:right="983"/>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项目支出绩效报告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根据《昆明市教育局 北京世青国际学校</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呈</w:t>
      </w:r>
      <w:r>
        <w:rPr>
          <w:rFonts w:hint="default" w:ascii="Times New Roman" w:hAnsi="Times New Roman" w:cs="Times New Roman"/>
          <w:szCs w:val="32"/>
          <w:lang w:eastAsia="zh-CN"/>
        </w:rPr>
        <w:t>贡</w:t>
      </w:r>
      <w:r>
        <w:rPr>
          <w:rFonts w:hint="default" w:ascii="Times New Roman" w:hAnsi="Times New Roman" w:cs="Times New Roman"/>
          <w:szCs w:val="32"/>
        </w:rPr>
        <w:t>区人民政府三方合作办学协议书》</w:t>
      </w:r>
      <w:r>
        <w:rPr>
          <w:rFonts w:hint="default" w:ascii="Times New Roman" w:hAnsi="Times New Roman" w:cs="Times New Roman"/>
          <w:szCs w:val="32"/>
          <w:lang w:eastAsia="zh-CN"/>
        </w:rPr>
        <w:t>和《昆明市呈贡区人民政府与昆明市教育体育局举办昆明市中华小学金盾俊园校区、昆明市外国语学校呈贡校区合作办学协议书》</w:t>
      </w:r>
      <w:r>
        <w:rPr>
          <w:rFonts w:hint="default" w:ascii="Times New Roman" w:hAnsi="Times New Roman" w:cs="Times New Roman"/>
          <w:szCs w:val="32"/>
        </w:rPr>
        <w:t>,由昆明市教育体育局和呈贡区政府联合举办昆明市外国语学校呈贡校区（昆明世青国际学校），学校立足基础教育，开办小学、中学教育，同时助力昆明市建设区域性国际中心城市，开办重点面向南亚东南亚的国际教育，培养“品德好、有作为、有品位的中国人”，培养具备“双语能力、多元文化视角和全球化意识”的国际化入才，努力将学校办成云南基础教育、特色教育、国际教育示范名校。</w:t>
      </w:r>
      <w:r>
        <w:rPr>
          <w:rFonts w:hint="eastAsia" w:ascii="Times New Roman" w:hAnsi="Times New Roman" w:cs="Times New Roman"/>
          <w:szCs w:val="32"/>
          <w:lang w:eastAsia="zh-CN"/>
        </w:rPr>
        <w:t>昆外</w:t>
      </w:r>
      <w:r>
        <w:rPr>
          <w:rFonts w:hint="default" w:ascii="Times New Roman" w:hAnsi="Times New Roman" w:cs="Times New Roman"/>
          <w:szCs w:val="32"/>
        </w:rPr>
        <w:t>校呈贡校区在市教育体育局的大力支持和关心下，小学部已于2021年8 月投入使用。为顺利推进2022年9 月份中学部如期开学，确保安全稳定。根据3 月21日市教育体育局专题研究</w:t>
      </w:r>
      <w:r>
        <w:rPr>
          <w:rFonts w:hint="eastAsia" w:ascii="Times New Roman" w:hAnsi="Times New Roman" w:cs="Times New Roman"/>
          <w:szCs w:val="32"/>
          <w:lang w:eastAsia="zh-CN"/>
        </w:rPr>
        <w:t>昆外校</w:t>
      </w:r>
      <w:r>
        <w:rPr>
          <w:rFonts w:hint="default" w:ascii="Times New Roman" w:hAnsi="Times New Roman" w:cs="Times New Roman"/>
          <w:szCs w:val="32"/>
        </w:rPr>
        <w:t>呈贡校区2022 年招生工作的相关要求，2022年8 月，</w:t>
      </w:r>
      <w:r>
        <w:rPr>
          <w:rFonts w:hint="eastAsia" w:ascii="Times New Roman" w:hAnsi="Times New Roman" w:cs="Times New Roman"/>
          <w:szCs w:val="32"/>
          <w:lang w:eastAsia="zh-CN"/>
        </w:rPr>
        <w:t>学</w:t>
      </w:r>
      <w:r>
        <w:rPr>
          <w:rFonts w:hint="default" w:ascii="Times New Roman" w:hAnsi="Times New Roman" w:cs="Times New Roman"/>
          <w:szCs w:val="32"/>
        </w:rPr>
        <w:t>校高中部860名师生员工由东风校区搬迁至呈贡校区开展教育教学工作。为满足搬迁后呈贡校区正常教育教学及办公需求，原有设施设备已经不能满足学校的正常运行，需要进行补充，进一步改善教学条件。从而实现充分利用财政专款、持续投入基础设施设备建设、不断改善教学条件、创造良好育人环境的目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昆外校呈贡校区2022 年项目预算资金（非同级财政拨款）批复金额为9875237.44 元，</w:t>
      </w:r>
      <w:r>
        <w:rPr>
          <w:rFonts w:hint="eastAsia" w:ascii="Times New Roman" w:hAnsi="Times New Roman" w:cs="Times New Roman"/>
          <w:szCs w:val="32"/>
          <w:lang w:eastAsia="zh-CN"/>
        </w:rPr>
        <w:t>资金到位率</w:t>
      </w:r>
      <w:r>
        <w:rPr>
          <w:rFonts w:hint="eastAsia" w:ascii="Times New Roman" w:hAnsi="Times New Roman" w:cs="Times New Roman"/>
          <w:szCs w:val="32"/>
          <w:lang w:val="en-US" w:eastAsia="zh-CN"/>
        </w:rPr>
        <w:t>100%。</w:t>
      </w:r>
      <w:r>
        <w:rPr>
          <w:rFonts w:hint="default" w:ascii="Times New Roman" w:hAnsi="Times New Roman" w:cs="Times New Roman"/>
          <w:szCs w:val="32"/>
        </w:rPr>
        <w:t>其中：呈贡校区二期艺体功能室装修1650872.00 元，实际执行金额为846925.00 元，因呈贡校区二期建筑工程暂停施工，无法达到支付安装条件，剩余金额结转至2023年执行；呈贡校区二期理化生实验室装修3574282.44 元，实际执行金额为3548100.00 元；呈贡校区二期报告厅会议室装修1250000.00，实际执行金额为1050000.00 元，因呈贡校区二期建筑工程暂停施工，无法达到支付安装条件，剩余金额结转至2023年执行；呈贡校区二期设施设备配置经费3244295.00元，实际执行金额为2219506.00 元，因呈贡校区二期建筑工程暂停施工，无法达到支付安装条件，剩余金额结转至2023 年执行；校园网络安全系统项目155788.00元，实际执行金额为150788.00元。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根据《中小学标准化建设标准》，确定项目建设总体目标绩效目标，绩效指标明确。具体如下：完成各类教育教学功能室装修及设备采购安装，确保2022 年9 月正常投入使用，保障和服务教育教学，服务师生工作、学习和生活需求。</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项目资金统一纳入2022 年昆明市财政预算，预算资金按照1:1 比例由昆明市财政和呈贡区财政安排落实（小学部按照7:3），二期教学设施设备项目总计投入 14284652.00 元，呈贡区配套9875237.44元，年初预算批复下达后资金到位，其中呈贡区财政安排的项目资金由呈贡区教育局直接划拨到昆明市外国语学校专用账户，按照预算收支管理办法和相关内控制度进行财务收支统一管理，实行专款专用，根据项目采购实施进度及时、规范完成资金支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一是严格落实“三重一大”决策要求，严格纪律监督和检查，学校纪委全程参与和监督政府采购过程。严守纪律红线，坚决杜绝政府采购过程中发生违规违纪行为。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二是设立政府采购专员负责本单位政府采购审批、备案、付款等相关手续的办理；负责参加政府采购管理部门组织的各类业务培训；负责“地方政府采购信息统计管理系统”等各类采购数据的汇总、统计、报送。</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三是资金下达后，制定学校政府采购实施方案，成立政采领导小组，及时公开意向，合理选择采购方式，委托代理机构开展采购活动，签订采购合同、协议，明确权利义务，加强采购验收管理。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四是严格落实内控制度，规范自行采购行为，凡采购金额≧2 万元以上的物品或建设项目，均邀请党、政、工、团和相关业务处室人员参与评标和验收工作，货比</w:t>
      </w:r>
      <w:r>
        <w:rPr>
          <w:rFonts w:hint="eastAsia" w:ascii="Times New Roman" w:hAnsi="Times New Roman" w:cs="Times New Roman"/>
          <w:szCs w:val="32"/>
          <w:lang w:eastAsia="zh-CN"/>
        </w:rPr>
        <w:t>三</w:t>
      </w:r>
      <w:r>
        <w:rPr>
          <w:rFonts w:hint="default" w:ascii="Times New Roman" w:hAnsi="Times New Roman" w:eastAsia="仿宋_GB2312" w:cs="Times New Roman"/>
          <w:szCs w:val="32"/>
        </w:rPr>
        <w:t>家、询价采购。</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五是延长质保期限和售后服务事项，目前，所有采购项目质保期至少为三年，家具和食堂用具质保为</w:t>
      </w:r>
      <w:r>
        <w:rPr>
          <w:rFonts w:hint="eastAsia" w:ascii="Times New Roman" w:hAnsi="Times New Roman" w:cs="Times New Roman"/>
          <w:szCs w:val="32"/>
          <w:lang w:eastAsia="zh-CN"/>
        </w:rPr>
        <w:t>五</w:t>
      </w:r>
      <w:r>
        <w:rPr>
          <w:rFonts w:hint="default" w:ascii="Times New Roman" w:hAnsi="Times New Roman" w:eastAsia="仿宋_GB2312" w:cs="Times New Roman"/>
          <w:szCs w:val="32"/>
        </w:rPr>
        <w:t>年。加强设备的使用培训，资产及时入账，落实到人，账物一致，切实提高资金使用效益。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六是制定了学校政府采购行为规范和责任追究暂行办法，预防和制止政采活动中的违法违规行</w:t>
      </w:r>
      <w:bookmarkStart w:id="0" w:name="_GoBack"/>
      <w:bookmarkEnd w:id="0"/>
      <w:r>
        <w:rPr>
          <w:rFonts w:hint="default" w:ascii="Times New Roman" w:hAnsi="Times New Roman" w:eastAsia="仿宋_GB2312" w:cs="Times New Roman"/>
          <w:szCs w:val="32"/>
        </w:rPr>
        <w:t>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一是抓好综合统筹，在资金有限的前提下，紧紧围绕“保必要、保教学、保重点、保基本”的原则，采购前期充分做好市场调研，主动掌握市场主流和一线品牌的基本情况，为后续编制设备参数奠定基础数据。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二是根据《云南省人民政府办公厅关于印发云南省政府集中采购目录及标准（2021年版）通知》要求，严格落实哪些是集中采购和分散采购，分类整合采购项目，尽量提前意向公开。</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三是严格落实采购程序和要求，确保质量要求。</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下一步，</w:t>
      </w:r>
      <w:r>
        <w:rPr>
          <w:rFonts w:hint="eastAsia" w:ascii="仿宋_GB2312"/>
          <w:szCs w:val="32"/>
          <w:lang w:eastAsia="zh-CN"/>
        </w:rPr>
        <w:t>学</w:t>
      </w:r>
      <w:r>
        <w:rPr>
          <w:rFonts w:hint="eastAsia" w:ascii="仿宋_GB2312"/>
          <w:szCs w:val="32"/>
        </w:rPr>
        <w:t>校将严格落实国家和省市有关资金和采购规律法规等相关依据标准，始终遵循学校总体工作思路，紧紧围绕“服务和保障教育教学"这个重心和中心任务，牢固树立红线意识和底线思维，始终坚持问题导向，结果导向，目标导向，进一步提升资金使用、立项、采购全要素、闭环式管理，切实提高资金使用效益。努力构建职责明确、脉络清晰、制度完善的总务管理体系，把工作做实、做细，做的更好，努力办好人民满意教育。</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一是主要经验做法。制定、落实内控制度，成立以学校主要领导、分管领导、相关业务处室负责人为成员的组织机构，落实“三重一大”决策要求，为资金的使用、采购立项等相关工作奠定良好基础保障。严格执行事业单位会计制度，按照国库支付要求管理财政拨付资金，预算外资金实行收支两条线管理。落实预算管理制度编制费用预算，严格按照预算批复执行。同时，各项目符合学校宏观、长远和目前发展现实需要，项目前期准备较为充分、绩效目标较为清晰、项目阶段较为分明、资金利用较为准确。学校综合统筹谋划，各部门相互配合，顺利完成各项目的实施，提升资金使用效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pPr>
      <w:r>
        <w:rPr>
          <w:rFonts w:hint="eastAsia" w:ascii="仿宋_GB2312"/>
          <w:szCs w:val="32"/>
        </w:rPr>
        <w:t>二是改进措施。进一步完善健全财务制度，规范财务管理</w:t>
      </w:r>
      <w:r>
        <w:rPr>
          <w:rFonts w:hint="eastAsia" w:ascii="仿宋_GB2312"/>
          <w:szCs w:val="32"/>
          <w:lang w:eastAsia="zh-CN"/>
        </w:rPr>
        <w:t>。</w:t>
      </w:r>
      <w:r>
        <w:rPr>
          <w:rFonts w:hint="eastAsia" w:ascii="仿宋_GB2312"/>
          <w:szCs w:val="32"/>
        </w:rPr>
        <w:t>进一步做好预算编制和申报工作，提高预算的严肃性、可执行性。进一步重视项目前期工作、深化项目前期研究。进一步细化资金测算、明确资金测算的依据和标准、提高资金测算的准确度，关注资金的节约性和资金使用效益。进一步加强项目实施的必要性和紧迫性分析，认真研究项目实施方案、提高项目成熟度、前瞻性和针对性。正确认识和理解绩效评价的重要意义，树立公共财政资金使用效益观念，提高资源配置效率。</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3FE374E"/>
    <w:rsid w:val="19C819BF"/>
    <w:rsid w:val="2FD74336"/>
    <w:rsid w:val="31166C3C"/>
    <w:rsid w:val="378A5996"/>
    <w:rsid w:val="5A3C6978"/>
    <w:rsid w:val="5E593BC9"/>
    <w:rsid w:val="67600811"/>
    <w:rsid w:val="EFBAA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2023-09-26T11:18:07Z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