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昆明市呈贡区教育体育发展综合服务中心</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关于202</w:t>
      </w:r>
      <w:r>
        <w:rPr>
          <w:rFonts w:hint="eastAsia" w:ascii="方正小标宋简体" w:hAnsi="Times New Roman" w:eastAsia="方正小标宋简体" w:cs="Times New Roman"/>
          <w:sz w:val="44"/>
          <w:szCs w:val="44"/>
          <w:lang w:val="en-US" w:eastAsia="zh-CN"/>
        </w:rPr>
        <w:t>2</w:t>
      </w:r>
      <w:r>
        <w:rPr>
          <w:rFonts w:hint="eastAsia" w:ascii="方正小标宋简体" w:hAnsi="Times New Roman" w:eastAsia="方正小标宋简体" w:cs="Times New Roman"/>
          <w:sz w:val="44"/>
          <w:szCs w:val="44"/>
        </w:rPr>
        <w:t>年度合作办学教师供养经费</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支出绩效报告</w:t>
      </w:r>
    </w:p>
    <w:p>
      <w:pPr>
        <w:spacing w:line="560" w:lineRule="exact"/>
        <w:jc w:val="center"/>
        <w:rPr>
          <w:rFonts w:hint="eastAsia" w:ascii="方正小标宋简体" w:hAnsi="Times New Roman" w:eastAsia="方正小标宋简体" w:cs="Times New Roman"/>
          <w:color w:val="auto"/>
          <w:sz w:val="44"/>
          <w:szCs w:val="44"/>
        </w:rPr>
      </w:pPr>
    </w:p>
    <w:p>
      <w:pPr>
        <w:topLinePunct/>
        <w:ind w:firstLine="594" w:firstLineChars="200"/>
        <w:rPr>
          <w:rFonts w:ascii="黑体" w:eastAsia="黑体"/>
          <w:color w:val="auto"/>
          <w:szCs w:val="32"/>
        </w:rPr>
      </w:pPr>
      <w:r>
        <w:rPr>
          <w:rFonts w:hint="eastAsia" w:ascii="黑体" w:eastAsia="黑体"/>
          <w:color w:val="auto"/>
          <w:szCs w:val="32"/>
        </w:rPr>
        <w:t>一、项目基本情况</w:t>
      </w:r>
    </w:p>
    <w:p>
      <w:pPr>
        <w:spacing w:line="560" w:lineRule="exact"/>
        <w:ind w:firstLine="594" w:firstLineChars="200"/>
        <w:jc w:val="left"/>
        <w:rPr>
          <w:rFonts w:ascii="Times New Roman" w:hAnsi="Times New Roman" w:cs="Times New Roman"/>
          <w:color w:val="auto"/>
          <w:szCs w:val="32"/>
        </w:rPr>
      </w:pPr>
      <w:r>
        <w:rPr>
          <w:rFonts w:ascii="Times New Roman" w:hAnsi="Times New Roman" w:cs="Times New Roman"/>
          <w:color w:val="auto"/>
          <w:szCs w:val="32"/>
        </w:rPr>
        <w:t>随着呈贡区城市建设和发展的快速推进，广大群众对优质教育资源的需求不断增加，急需引入优质学校和优秀教师以适应区域经济社会发展需要。区教育局以提高教育质量为目标，先行先试，不断创新合作办学模式，进行优质资源移植和品牌输入。2013年以来，</w:t>
      </w:r>
      <w:r>
        <w:rPr>
          <w:rFonts w:ascii="Times New Roman" w:hAnsi="仿宋_GB2312" w:cs="Times New Roman"/>
          <w:color w:val="auto"/>
          <w:szCs w:val="32"/>
        </w:rPr>
        <w:t>呈贡区采取市区合建、政企共建、区属自建等方式，先后与驻区高校、省内外名校合作办学，共建</w:t>
      </w:r>
      <w:r>
        <w:rPr>
          <w:rFonts w:ascii="Times New Roman" w:hAnsi="Times New Roman" w:cs="Times New Roman"/>
          <w:color w:val="auto"/>
          <w:szCs w:val="32"/>
        </w:rPr>
        <w:t>学校、幼儿园</w:t>
      </w:r>
      <w:r>
        <w:rPr>
          <w:rFonts w:hint="eastAsia" w:ascii="Times New Roman" w:hAnsi="Times New Roman" w:cs="Times New Roman"/>
          <w:color w:val="auto"/>
          <w:szCs w:val="32"/>
          <w:lang w:val="en-US" w:eastAsia="zh-CN"/>
        </w:rPr>
        <w:t>27</w:t>
      </w:r>
      <w:r>
        <w:rPr>
          <w:rFonts w:ascii="Times New Roman" w:hAnsi="Times New Roman" w:cs="Times New Roman"/>
          <w:color w:val="auto"/>
          <w:szCs w:val="32"/>
        </w:rPr>
        <w:t>所，大大地增加了我区优质教育资源总量。</w:t>
      </w:r>
    </w:p>
    <w:p>
      <w:pPr>
        <w:spacing w:line="560" w:lineRule="exact"/>
        <w:ind w:firstLine="594" w:firstLineChars="200"/>
        <w:jc w:val="left"/>
        <w:rPr>
          <w:rFonts w:ascii="Times New Roman" w:hAnsi="Times New Roman" w:cs="Times New Roman"/>
          <w:color w:val="auto"/>
          <w:szCs w:val="32"/>
        </w:rPr>
      </w:pPr>
      <w:r>
        <w:rPr>
          <w:rFonts w:ascii="Times New Roman" w:hAnsi="Times New Roman" w:cs="Times New Roman"/>
          <w:color w:val="auto"/>
          <w:szCs w:val="32"/>
        </w:rPr>
        <w:t>为更快更好地支持学校发展，促进教师队伍建设，提升学校办学水平，为呈贡区提供优质教育资源，合作办学双方签订《合作办学协议》约定，合作办学学校每年面向呈贡新区招收一定比例的公费学位学生，呈贡区按照部颁师生比或师班比，核定各合作办学学校公费学位学生对等的教师供养经费。</w:t>
      </w:r>
    </w:p>
    <w:p>
      <w:pPr>
        <w:spacing w:line="560" w:lineRule="exact"/>
        <w:ind w:firstLine="594" w:firstLineChars="200"/>
        <w:rPr>
          <w:rFonts w:ascii="Times New Roman" w:hAnsi="Times New Roman" w:cs="Times New Roman"/>
          <w:color w:val="auto"/>
          <w:szCs w:val="32"/>
        </w:rPr>
      </w:pPr>
      <w:r>
        <w:rPr>
          <w:rFonts w:ascii="Times New Roman" w:hAnsi="Times New Roman" w:cs="Times New Roman"/>
          <w:color w:val="auto"/>
          <w:szCs w:val="32"/>
        </w:rPr>
        <w:t>根据20</w:t>
      </w:r>
      <w:r>
        <w:rPr>
          <w:rFonts w:hint="eastAsia" w:ascii="Times New Roman" w:hAnsi="Times New Roman" w:cs="Times New Roman"/>
          <w:color w:val="auto"/>
          <w:szCs w:val="32"/>
        </w:rPr>
        <w:t>2</w:t>
      </w:r>
      <w:r>
        <w:rPr>
          <w:rFonts w:hint="eastAsia" w:ascii="Times New Roman" w:hAnsi="Times New Roman" w:cs="Times New Roman"/>
          <w:color w:val="auto"/>
          <w:szCs w:val="32"/>
          <w:lang w:val="en-US" w:eastAsia="zh-CN"/>
        </w:rPr>
        <w:t>2</w:t>
      </w:r>
      <w:r>
        <w:rPr>
          <w:rFonts w:ascii="Times New Roman" w:hAnsi="Times New Roman" w:cs="Times New Roman"/>
          <w:color w:val="auto"/>
          <w:szCs w:val="32"/>
        </w:rPr>
        <w:t>年教育事业统计报表，呈贡区教育体育局对公费学位学生情况进行认真梳理核查，20</w:t>
      </w:r>
      <w:r>
        <w:rPr>
          <w:rFonts w:hint="eastAsia" w:ascii="Times New Roman" w:hAnsi="Times New Roman" w:cs="Times New Roman"/>
          <w:color w:val="auto"/>
          <w:szCs w:val="32"/>
        </w:rPr>
        <w:t>2</w:t>
      </w:r>
      <w:r>
        <w:rPr>
          <w:rFonts w:hint="eastAsia" w:ascii="Times New Roman" w:hAnsi="Times New Roman" w:cs="Times New Roman"/>
          <w:color w:val="auto"/>
          <w:szCs w:val="32"/>
          <w:lang w:val="en-US" w:eastAsia="zh-CN"/>
        </w:rPr>
        <w:t>2</w:t>
      </w:r>
      <w:r>
        <w:rPr>
          <w:rFonts w:ascii="Times New Roman" w:hAnsi="Times New Roman" w:cs="Times New Roman"/>
          <w:color w:val="auto"/>
          <w:szCs w:val="32"/>
        </w:rPr>
        <w:t>年共有</w:t>
      </w:r>
      <w:r>
        <w:rPr>
          <w:rFonts w:hint="eastAsia" w:ascii="Times New Roman" w:hAnsi="Times New Roman" w:cs="Times New Roman"/>
          <w:color w:val="auto"/>
          <w:szCs w:val="32"/>
        </w:rPr>
        <w:t>3</w:t>
      </w:r>
      <w:r>
        <w:rPr>
          <w:rFonts w:ascii="Times New Roman" w:hAnsi="Times New Roman" w:cs="Times New Roman"/>
          <w:color w:val="auto"/>
          <w:szCs w:val="32"/>
        </w:rPr>
        <w:t>所中学（含初中、高中）、4所小学、</w:t>
      </w:r>
      <w:r>
        <w:rPr>
          <w:rFonts w:hint="eastAsia" w:ascii="Times New Roman" w:hAnsi="Times New Roman" w:cs="Times New Roman"/>
          <w:color w:val="auto"/>
          <w:szCs w:val="32"/>
          <w:lang w:val="en-US" w:eastAsia="zh-CN"/>
        </w:rPr>
        <w:t>2</w:t>
      </w:r>
      <w:r>
        <w:rPr>
          <w:rFonts w:ascii="Times New Roman" w:hAnsi="Times New Roman" w:cs="Times New Roman"/>
          <w:color w:val="auto"/>
          <w:szCs w:val="32"/>
        </w:rPr>
        <w:t>所幼儿园按合作办学协议约定对呈贡区符合条件学生提供公费学位，需要区级财政提供教师供养。呈贡区按照合作办学协议约定，按照部颁师生比或师班比标准，核定各合作办学学校公费学位学生对等的教师数，并按</w:t>
      </w:r>
      <w:r>
        <w:rPr>
          <w:rFonts w:hint="eastAsia" w:ascii="Times New Roman" w:hAnsi="Times New Roman" w:cs="Times New Roman"/>
          <w:color w:val="auto"/>
          <w:kern w:val="0"/>
          <w:szCs w:val="32"/>
        </w:rPr>
        <w:t>《昆明市呈贡区人民政府关于调整呈贡区合作办学学校区级财政供养教师标准的批复》（呈政复</w:t>
      </w:r>
      <w:r>
        <w:rPr>
          <w:rFonts w:ascii="Times New Roman" w:hAnsi="Times New Roman" w:cs="Times New Roman"/>
          <w:color w:val="auto"/>
          <w:szCs w:val="32"/>
        </w:rPr>
        <w:t>〔201</w:t>
      </w:r>
      <w:r>
        <w:rPr>
          <w:rFonts w:hint="eastAsia" w:ascii="Times New Roman" w:hAnsi="Times New Roman" w:cs="Times New Roman"/>
          <w:color w:val="auto"/>
          <w:szCs w:val="32"/>
        </w:rPr>
        <w:t>9</w:t>
      </w:r>
      <w:r>
        <w:rPr>
          <w:rFonts w:ascii="Times New Roman" w:hAnsi="Times New Roman" w:cs="Times New Roman"/>
          <w:color w:val="auto"/>
          <w:szCs w:val="32"/>
        </w:rPr>
        <w:t>〕</w:t>
      </w:r>
      <w:r>
        <w:rPr>
          <w:rFonts w:hint="eastAsia" w:ascii="Times New Roman" w:hAnsi="Times New Roman" w:cs="Times New Roman"/>
          <w:color w:val="auto"/>
          <w:kern w:val="0"/>
          <w:szCs w:val="32"/>
        </w:rPr>
        <w:t>197号）</w:t>
      </w:r>
      <w:r>
        <w:rPr>
          <w:rFonts w:ascii="Times New Roman" w:hAnsi="Times New Roman" w:cs="Times New Roman"/>
          <w:color w:val="auto"/>
          <w:szCs w:val="32"/>
        </w:rPr>
        <w:t>标准核算，20</w:t>
      </w:r>
      <w:r>
        <w:rPr>
          <w:rFonts w:hint="eastAsia" w:ascii="Times New Roman" w:hAnsi="Times New Roman" w:cs="Times New Roman"/>
          <w:color w:val="auto"/>
          <w:szCs w:val="32"/>
        </w:rPr>
        <w:t>2</w:t>
      </w:r>
      <w:r>
        <w:rPr>
          <w:rFonts w:hint="eastAsia" w:ascii="Times New Roman" w:hAnsi="Times New Roman" w:cs="Times New Roman"/>
          <w:color w:val="auto"/>
          <w:szCs w:val="32"/>
          <w:lang w:val="en-US" w:eastAsia="zh-CN"/>
        </w:rPr>
        <w:t>2</w:t>
      </w:r>
      <w:r>
        <w:rPr>
          <w:rFonts w:ascii="Times New Roman" w:hAnsi="Times New Roman" w:cs="Times New Roman"/>
          <w:color w:val="auto"/>
          <w:szCs w:val="32"/>
        </w:rPr>
        <w:t>年度共计核拨合作办学教师供养经费</w:t>
      </w:r>
      <w:r>
        <w:rPr>
          <w:rFonts w:hint="eastAsia" w:ascii="Times New Roman" w:hAnsi="Times New Roman" w:cs="Times New Roman"/>
          <w:color w:val="auto"/>
          <w:szCs w:val="32"/>
          <w:lang w:val="en-US" w:eastAsia="zh-CN"/>
        </w:rPr>
        <w:t>2344.7277</w:t>
      </w:r>
      <w:r>
        <w:rPr>
          <w:rFonts w:ascii="Times New Roman" w:hAnsi="Times New Roman" w:cs="Times New Roman"/>
          <w:color w:val="auto"/>
          <w:szCs w:val="32"/>
        </w:rPr>
        <w:t>万元。项目全部启动，并按计划完成。</w:t>
      </w:r>
    </w:p>
    <w:p>
      <w:pPr>
        <w:topLinePunct/>
        <w:ind w:firstLine="594" w:firstLineChars="200"/>
        <w:rPr>
          <w:rFonts w:hint="eastAsia" w:ascii="黑体" w:eastAsia="黑体"/>
          <w:color w:val="auto"/>
          <w:szCs w:val="32"/>
        </w:rPr>
      </w:pPr>
      <w:r>
        <w:rPr>
          <w:rFonts w:hint="eastAsia" w:ascii="黑体" w:eastAsia="黑体"/>
          <w:color w:val="auto"/>
          <w:szCs w:val="32"/>
        </w:rPr>
        <w:t>二、</w:t>
      </w:r>
      <w:r>
        <w:rPr>
          <w:rFonts w:hint="eastAsia" w:ascii="黑体" w:eastAsia="黑体"/>
          <w:color w:val="auto"/>
          <w:szCs w:val="32"/>
          <w:lang w:eastAsia="zh-CN"/>
        </w:rPr>
        <w:t>项目资金使用及管理情况</w:t>
      </w:r>
    </w:p>
    <w:p>
      <w:pPr>
        <w:widowControl/>
        <w:snapToGrid w:val="0"/>
        <w:spacing w:line="560" w:lineRule="exact"/>
        <w:ind w:firstLine="594" w:firstLineChars="200"/>
        <w:jc w:val="left"/>
        <w:rPr>
          <w:rFonts w:ascii="Times New Roman" w:hAnsi="Times New Roman" w:cs="Times New Roman"/>
          <w:color w:val="auto"/>
          <w:szCs w:val="32"/>
        </w:rPr>
      </w:pPr>
      <w:r>
        <w:rPr>
          <w:rFonts w:ascii="Times New Roman" w:hAnsi="Times New Roman" w:cs="Times New Roman"/>
          <w:color w:val="auto"/>
          <w:szCs w:val="32"/>
        </w:rPr>
        <w:t xml:space="preserve">1、项目资金安排情况分析 </w:t>
      </w:r>
    </w:p>
    <w:p>
      <w:pPr>
        <w:widowControl/>
        <w:snapToGrid w:val="0"/>
        <w:spacing w:line="560" w:lineRule="exact"/>
        <w:ind w:firstLine="594" w:firstLineChars="200"/>
        <w:jc w:val="left"/>
        <w:rPr>
          <w:rFonts w:ascii="Times New Roman" w:hAnsi="Times New Roman" w:cs="Times New Roman"/>
          <w:color w:val="auto"/>
          <w:szCs w:val="32"/>
        </w:rPr>
      </w:pPr>
      <w:r>
        <w:rPr>
          <w:rFonts w:ascii="Times New Roman" w:hAnsi="Times New Roman" w:cs="Times New Roman"/>
          <w:color w:val="auto"/>
          <w:szCs w:val="32"/>
        </w:rPr>
        <w:t>20</w:t>
      </w:r>
      <w:r>
        <w:rPr>
          <w:rFonts w:hint="eastAsia" w:ascii="Times New Roman" w:hAnsi="Times New Roman" w:cs="Times New Roman"/>
          <w:color w:val="auto"/>
          <w:szCs w:val="32"/>
        </w:rPr>
        <w:t>2</w:t>
      </w:r>
      <w:r>
        <w:rPr>
          <w:rFonts w:hint="eastAsia" w:ascii="Times New Roman" w:hAnsi="Times New Roman" w:cs="Times New Roman"/>
          <w:color w:val="auto"/>
          <w:szCs w:val="32"/>
          <w:lang w:val="en-US" w:eastAsia="zh-CN"/>
        </w:rPr>
        <w:t>2</w:t>
      </w:r>
      <w:r>
        <w:rPr>
          <w:rFonts w:ascii="Times New Roman" w:hAnsi="Times New Roman" w:cs="Times New Roman"/>
          <w:color w:val="auto"/>
          <w:szCs w:val="32"/>
        </w:rPr>
        <w:t xml:space="preserve">年呈贡区财政下达呈贡区合作办学学校教师供养经费  </w:t>
      </w:r>
      <w:r>
        <w:rPr>
          <w:rFonts w:hint="eastAsia" w:ascii="Times New Roman" w:hAnsi="Times New Roman" w:cs="Times New Roman"/>
          <w:color w:val="auto"/>
          <w:szCs w:val="32"/>
          <w:lang w:val="en-US" w:eastAsia="zh-CN"/>
        </w:rPr>
        <w:t>2344.7277</w:t>
      </w:r>
      <w:r>
        <w:rPr>
          <w:rFonts w:ascii="Times New Roman" w:hAnsi="Times New Roman" w:cs="Times New Roman"/>
          <w:color w:val="auto"/>
          <w:szCs w:val="32"/>
        </w:rPr>
        <w:t>万元，全部用于合作办学学校教师工资发放</w:t>
      </w:r>
      <w:r>
        <w:rPr>
          <w:rFonts w:hint="eastAsia" w:ascii="Times New Roman" w:hAnsi="Times New Roman" w:cs="Times New Roman"/>
          <w:color w:val="auto"/>
          <w:szCs w:val="32"/>
          <w:lang w:eastAsia="zh-CN"/>
        </w:rPr>
        <w:t>，</w:t>
      </w:r>
      <w:r>
        <w:rPr>
          <w:rFonts w:ascii="Times New Roman" w:hAnsi="Times New Roman" w:cs="Times New Roman"/>
          <w:color w:val="auto"/>
          <w:szCs w:val="32"/>
        </w:rPr>
        <w:t xml:space="preserve">资金使用率100％。 </w:t>
      </w:r>
    </w:p>
    <w:p>
      <w:pPr>
        <w:topLinePunct/>
        <w:spacing w:line="560" w:lineRule="exact"/>
        <w:ind w:firstLine="600"/>
        <w:rPr>
          <w:rFonts w:ascii="Times New Roman" w:hAnsi="Times New Roman" w:cs="Times New Roman"/>
          <w:color w:val="auto"/>
          <w:szCs w:val="32"/>
        </w:rPr>
      </w:pPr>
      <w:r>
        <w:rPr>
          <w:rFonts w:ascii="Times New Roman" w:hAnsi="Times New Roman" w:cs="Times New Roman"/>
          <w:color w:val="auto"/>
          <w:szCs w:val="32"/>
        </w:rPr>
        <w:t>2、项目资金使用情况分析</w:t>
      </w:r>
    </w:p>
    <w:p>
      <w:pPr>
        <w:widowControl/>
        <w:snapToGrid w:val="0"/>
        <w:spacing w:line="560" w:lineRule="exact"/>
        <w:ind w:firstLine="594" w:firstLineChars="200"/>
        <w:jc w:val="left"/>
        <w:rPr>
          <w:rFonts w:ascii="Times New Roman" w:hAnsi="Times New Roman" w:cs="Times New Roman"/>
          <w:color w:val="auto"/>
          <w:szCs w:val="32"/>
        </w:rPr>
      </w:pPr>
      <w:r>
        <w:rPr>
          <w:rFonts w:ascii="Times New Roman" w:hAnsi="Times New Roman" w:cs="Times New Roman"/>
          <w:color w:val="auto"/>
          <w:szCs w:val="32"/>
        </w:rPr>
        <w:t>核拨20</w:t>
      </w:r>
      <w:r>
        <w:rPr>
          <w:rFonts w:hint="eastAsia" w:ascii="Times New Roman" w:hAnsi="Times New Roman" w:cs="Times New Roman"/>
          <w:color w:val="auto"/>
          <w:szCs w:val="32"/>
        </w:rPr>
        <w:t>2</w:t>
      </w:r>
      <w:r>
        <w:rPr>
          <w:rFonts w:hint="eastAsia" w:ascii="Times New Roman" w:hAnsi="Times New Roman" w:cs="Times New Roman"/>
          <w:color w:val="auto"/>
          <w:szCs w:val="32"/>
          <w:lang w:val="en-US" w:eastAsia="zh-CN"/>
        </w:rPr>
        <w:t>2</w:t>
      </w:r>
      <w:r>
        <w:rPr>
          <w:rFonts w:ascii="Times New Roman" w:hAnsi="Times New Roman" w:cs="Times New Roman"/>
          <w:color w:val="auto"/>
          <w:szCs w:val="32"/>
        </w:rPr>
        <w:t xml:space="preserve">年呈贡区合作办学学校幼儿园阶段教师供养经费   </w:t>
      </w:r>
      <w:r>
        <w:rPr>
          <w:rFonts w:hint="eastAsia" w:ascii="Times New Roman" w:hAnsi="Times New Roman" w:cs="Times New Roman"/>
          <w:color w:val="auto"/>
          <w:szCs w:val="32"/>
          <w:lang w:val="en-US" w:eastAsia="zh-CN"/>
        </w:rPr>
        <w:t>121.8171</w:t>
      </w:r>
      <w:r>
        <w:rPr>
          <w:rFonts w:ascii="Times New Roman" w:hAnsi="Times New Roman" w:cs="Times New Roman"/>
          <w:color w:val="auto"/>
          <w:szCs w:val="32"/>
        </w:rPr>
        <w:t>万元；</w:t>
      </w:r>
    </w:p>
    <w:p>
      <w:pPr>
        <w:widowControl/>
        <w:snapToGrid w:val="0"/>
        <w:spacing w:line="560" w:lineRule="exact"/>
        <w:ind w:firstLine="594" w:firstLineChars="200"/>
        <w:jc w:val="left"/>
        <w:rPr>
          <w:rFonts w:ascii="Times New Roman" w:hAnsi="Times New Roman" w:cs="Times New Roman"/>
          <w:color w:val="auto"/>
          <w:szCs w:val="32"/>
        </w:rPr>
      </w:pPr>
      <w:r>
        <w:rPr>
          <w:rFonts w:ascii="Times New Roman" w:hAnsi="Times New Roman" w:cs="Times New Roman"/>
          <w:color w:val="auto"/>
          <w:szCs w:val="32"/>
        </w:rPr>
        <w:t>核拨20</w:t>
      </w:r>
      <w:r>
        <w:rPr>
          <w:rFonts w:hint="eastAsia" w:ascii="Times New Roman" w:hAnsi="Times New Roman" w:cs="Times New Roman"/>
          <w:color w:val="auto"/>
          <w:szCs w:val="32"/>
        </w:rPr>
        <w:t>2</w:t>
      </w:r>
      <w:r>
        <w:rPr>
          <w:rFonts w:hint="eastAsia" w:ascii="Times New Roman" w:hAnsi="Times New Roman" w:cs="Times New Roman"/>
          <w:color w:val="auto"/>
          <w:szCs w:val="32"/>
          <w:lang w:val="en-US" w:eastAsia="zh-CN"/>
        </w:rPr>
        <w:t>2</w:t>
      </w:r>
      <w:r>
        <w:rPr>
          <w:rFonts w:ascii="Times New Roman" w:hAnsi="Times New Roman" w:cs="Times New Roman"/>
          <w:color w:val="auto"/>
          <w:szCs w:val="32"/>
        </w:rPr>
        <w:t xml:space="preserve">年呈贡区合作办学学校小学阶段教师供养经费   </w:t>
      </w:r>
      <w:r>
        <w:rPr>
          <w:rFonts w:hint="eastAsia" w:ascii="Times New Roman" w:hAnsi="Times New Roman" w:cs="Times New Roman"/>
          <w:color w:val="auto"/>
          <w:szCs w:val="32"/>
          <w:lang w:val="en-US" w:eastAsia="zh-CN"/>
        </w:rPr>
        <w:t>337.3332</w:t>
      </w:r>
      <w:r>
        <w:rPr>
          <w:rFonts w:ascii="Times New Roman" w:hAnsi="Times New Roman" w:cs="Times New Roman"/>
          <w:color w:val="auto"/>
          <w:szCs w:val="32"/>
        </w:rPr>
        <w:t>万元；</w:t>
      </w:r>
    </w:p>
    <w:p>
      <w:pPr>
        <w:widowControl/>
        <w:snapToGrid w:val="0"/>
        <w:spacing w:line="560" w:lineRule="exact"/>
        <w:ind w:firstLine="594" w:firstLineChars="200"/>
        <w:jc w:val="left"/>
        <w:rPr>
          <w:rFonts w:ascii="Times New Roman" w:hAnsi="Times New Roman" w:cs="Times New Roman"/>
          <w:color w:val="auto"/>
          <w:szCs w:val="32"/>
        </w:rPr>
      </w:pPr>
      <w:r>
        <w:rPr>
          <w:rFonts w:ascii="Times New Roman" w:hAnsi="Times New Roman" w:cs="Times New Roman"/>
          <w:color w:val="auto"/>
          <w:szCs w:val="32"/>
        </w:rPr>
        <w:t>核拨20</w:t>
      </w:r>
      <w:r>
        <w:rPr>
          <w:rFonts w:hint="eastAsia" w:ascii="Times New Roman" w:hAnsi="Times New Roman" w:cs="Times New Roman"/>
          <w:color w:val="auto"/>
          <w:szCs w:val="32"/>
        </w:rPr>
        <w:t>2</w:t>
      </w:r>
      <w:r>
        <w:rPr>
          <w:rFonts w:hint="eastAsia" w:ascii="Times New Roman" w:hAnsi="Times New Roman" w:cs="Times New Roman"/>
          <w:color w:val="auto"/>
          <w:szCs w:val="32"/>
          <w:lang w:val="en-US" w:eastAsia="zh-CN"/>
        </w:rPr>
        <w:t>2</w:t>
      </w:r>
      <w:r>
        <w:rPr>
          <w:rFonts w:ascii="Times New Roman" w:hAnsi="Times New Roman" w:cs="Times New Roman"/>
          <w:color w:val="auto"/>
          <w:szCs w:val="32"/>
        </w:rPr>
        <w:t xml:space="preserve">年呈贡区合作办学学校初中阶段教师供养经费   </w:t>
      </w:r>
      <w:r>
        <w:rPr>
          <w:rFonts w:hint="eastAsia" w:ascii="Times New Roman" w:hAnsi="Times New Roman" w:cs="Times New Roman"/>
          <w:color w:val="auto"/>
          <w:szCs w:val="32"/>
          <w:lang w:val="en-US" w:eastAsia="zh-CN"/>
        </w:rPr>
        <w:t>913.7604</w:t>
      </w:r>
      <w:r>
        <w:rPr>
          <w:rFonts w:ascii="Times New Roman" w:hAnsi="Times New Roman" w:cs="Times New Roman"/>
          <w:color w:val="auto"/>
          <w:szCs w:val="32"/>
        </w:rPr>
        <w:t>万元；</w:t>
      </w:r>
    </w:p>
    <w:p>
      <w:pPr>
        <w:topLinePunct/>
        <w:ind w:firstLine="594" w:firstLineChars="200"/>
        <w:rPr>
          <w:rFonts w:hint="eastAsia" w:ascii="Times New Roman" w:hAnsi="Times New Roman" w:cs="Times New Roman"/>
          <w:color w:val="auto"/>
          <w:szCs w:val="32"/>
        </w:rPr>
      </w:pPr>
      <w:r>
        <w:rPr>
          <w:rFonts w:ascii="Times New Roman" w:hAnsi="Times New Roman" w:cs="Times New Roman"/>
          <w:color w:val="auto"/>
          <w:szCs w:val="32"/>
        </w:rPr>
        <w:t>核拨20</w:t>
      </w:r>
      <w:r>
        <w:rPr>
          <w:rFonts w:hint="eastAsia" w:ascii="Times New Roman" w:hAnsi="Times New Roman" w:cs="Times New Roman"/>
          <w:color w:val="auto"/>
          <w:szCs w:val="32"/>
        </w:rPr>
        <w:t>2</w:t>
      </w:r>
      <w:r>
        <w:rPr>
          <w:rFonts w:hint="eastAsia" w:ascii="Times New Roman" w:hAnsi="Times New Roman" w:cs="Times New Roman"/>
          <w:color w:val="auto"/>
          <w:szCs w:val="32"/>
          <w:lang w:val="en-US" w:eastAsia="zh-CN"/>
        </w:rPr>
        <w:t>2</w:t>
      </w:r>
      <w:r>
        <w:rPr>
          <w:rFonts w:ascii="Times New Roman" w:hAnsi="Times New Roman" w:cs="Times New Roman"/>
          <w:color w:val="auto"/>
          <w:szCs w:val="32"/>
        </w:rPr>
        <w:t xml:space="preserve">年呈贡区合作办学学校高中阶段教师供养经费   </w:t>
      </w:r>
      <w:r>
        <w:rPr>
          <w:rFonts w:hint="eastAsia" w:ascii="Times New Roman" w:hAnsi="Times New Roman" w:cs="Times New Roman"/>
          <w:color w:val="auto"/>
          <w:szCs w:val="32"/>
          <w:lang w:val="en-US" w:eastAsia="zh-CN"/>
        </w:rPr>
        <w:t>971.8170</w:t>
      </w:r>
      <w:r>
        <w:rPr>
          <w:rFonts w:ascii="Times New Roman" w:hAnsi="Times New Roman" w:cs="Times New Roman"/>
          <w:color w:val="auto"/>
          <w:szCs w:val="32"/>
        </w:rPr>
        <w:t>万元</w:t>
      </w:r>
      <w:r>
        <w:rPr>
          <w:rFonts w:hint="eastAsia" w:ascii="Times New Roman" w:hAnsi="Times New Roman" w:cs="Times New Roman"/>
          <w:color w:val="auto"/>
          <w:szCs w:val="32"/>
        </w:rPr>
        <w:t>。</w:t>
      </w:r>
    </w:p>
    <w:p>
      <w:pPr>
        <w:topLinePunct/>
        <w:ind w:firstLine="594" w:firstLineChars="200"/>
        <w:rPr>
          <w:rFonts w:hint="eastAsia" w:ascii="黑体" w:eastAsia="黑体"/>
          <w:color w:val="auto"/>
          <w:szCs w:val="32"/>
          <w:lang w:eastAsia="zh-CN"/>
        </w:rPr>
      </w:pPr>
      <w:r>
        <w:rPr>
          <w:rFonts w:hint="eastAsia" w:ascii="黑体" w:eastAsia="黑体"/>
          <w:color w:val="auto"/>
          <w:szCs w:val="32"/>
          <w:lang w:eastAsia="zh-CN"/>
        </w:rPr>
        <w:t>三、项目组织实施情况</w:t>
      </w:r>
    </w:p>
    <w:p>
      <w:pPr>
        <w:widowControl/>
        <w:snapToGrid w:val="0"/>
        <w:spacing w:line="560" w:lineRule="exact"/>
        <w:ind w:firstLine="594" w:firstLineChars="200"/>
        <w:jc w:val="left"/>
        <w:rPr>
          <w:rFonts w:ascii="Times New Roman" w:hAnsi="Times New Roman" w:cs="Times New Roman"/>
          <w:color w:val="auto"/>
          <w:szCs w:val="32"/>
        </w:rPr>
      </w:pPr>
      <w:r>
        <w:rPr>
          <w:rFonts w:ascii="Times New Roman" w:hAnsi="Times New Roman" w:cs="Times New Roman"/>
          <w:color w:val="auto"/>
          <w:szCs w:val="32"/>
        </w:rPr>
        <w:t>为了加强对合作办学学校的服务与监管，区教育体育局按照“三明晰”和“六独立”原则，切实履行属地管理职责，保障合作办学学校健康发展。呈贡区委、区政府制定出台了《昆明市呈贡区创新合作办学学校服务和管理的意见（试行）》（呈通〔2015〕16号），加强对合作办学学校的监督指导，进一步规范学校办学行为。</w:t>
      </w:r>
    </w:p>
    <w:p>
      <w:pPr>
        <w:widowControl/>
        <w:spacing w:line="560" w:lineRule="exact"/>
        <w:ind w:firstLine="629"/>
        <w:rPr>
          <w:rFonts w:ascii="Times New Roman" w:hAnsi="Times New Roman" w:cs="Times New Roman"/>
          <w:color w:val="auto"/>
          <w:szCs w:val="32"/>
        </w:rPr>
      </w:pPr>
      <w:r>
        <w:rPr>
          <w:rFonts w:ascii="Times New Roman" w:hAnsi="仿宋_GB2312" w:cs="Times New Roman"/>
          <w:color w:val="auto"/>
          <w:szCs w:val="32"/>
        </w:rPr>
        <w:t>合作办学学校教师供养经费年前</w:t>
      </w:r>
      <w:r>
        <w:rPr>
          <w:rFonts w:ascii="Times New Roman" w:hAnsi="Times New Roman" w:cs="Times New Roman"/>
          <w:color w:val="auto"/>
          <w:kern w:val="0"/>
          <w:szCs w:val="32"/>
        </w:rPr>
        <w:t>进行预算，在经费的收支预算执行过程中，严格按照预算批复数将专项经费按季度及时、足额拨付到学校，同时加强对学校项目资金的管理，确保专款专用，充分发挥财政资金的使用效益。学校严格按项目计划和规定用途专款专用，将教师供养经费用于工资发放，及时核发给教师，不拖欠、不截留，此专项经费支出规范、合理，无虚列、虚报冒领和挤占挪用的现象。区教育体育局定期组织调研与督察，对合作办学学校</w:t>
      </w:r>
      <w:r>
        <w:rPr>
          <w:rFonts w:ascii="Times New Roman" w:hAnsi="Times New Roman" w:cs="Times New Roman"/>
          <w:color w:val="auto"/>
          <w:szCs w:val="32"/>
        </w:rPr>
        <w:t>教师供养经费</w:t>
      </w:r>
      <w:r>
        <w:rPr>
          <w:rFonts w:ascii="Times New Roman" w:hAnsi="Times New Roman" w:cs="Times New Roman"/>
          <w:color w:val="auto"/>
          <w:kern w:val="0"/>
          <w:szCs w:val="32"/>
        </w:rPr>
        <w:t>使用情况进行检查指导。</w:t>
      </w:r>
      <w:r>
        <w:rPr>
          <w:rFonts w:ascii="Times New Roman" w:hAnsi="Times New Roman" w:cs="Times New Roman"/>
          <w:color w:val="auto"/>
          <w:szCs w:val="32"/>
        </w:rPr>
        <w:t>教师供养经费按时足额到位，有效保障了教师工资正常发放，保障学校教育教学工作正常开展，学校处于良性发展的生态环境。</w:t>
      </w:r>
    </w:p>
    <w:p>
      <w:pPr>
        <w:topLinePunct/>
        <w:ind w:firstLine="594" w:firstLineChars="200"/>
        <w:rPr>
          <w:rFonts w:ascii="黑体" w:eastAsia="黑体"/>
          <w:color w:val="auto"/>
          <w:szCs w:val="32"/>
        </w:rPr>
      </w:pPr>
      <w:r>
        <w:rPr>
          <w:rFonts w:hint="eastAsia" w:ascii="黑体" w:eastAsia="黑体"/>
          <w:color w:val="auto"/>
          <w:szCs w:val="32"/>
          <w:lang w:eastAsia="zh-CN"/>
        </w:rPr>
        <w:t>四</w:t>
      </w:r>
      <w:r>
        <w:rPr>
          <w:rFonts w:hint="eastAsia" w:ascii="黑体" w:eastAsia="黑体"/>
          <w:color w:val="auto"/>
          <w:szCs w:val="32"/>
        </w:rPr>
        <w:t>、项目绩效情况</w:t>
      </w:r>
    </w:p>
    <w:p>
      <w:pPr>
        <w:spacing w:line="560" w:lineRule="exact"/>
        <w:ind w:firstLine="594" w:firstLineChars="200"/>
        <w:rPr>
          <w:rFonts w:ascii="Times New Roman" w:hAnsi="Times New Roman" w:cs="Times New Roman"/>
          <w:color w:val="auto"/>
          <w:szCs w:val="32"/>
        </w:rPr>
      </w:pPr>
      <w:r>
        <w:rPr>
          <w:rFonts w:ascii="Times New Roman" w:hAnsi="Times New Roman" w:cs="Times New Roman"/>
          <w:color w:val="auto"/>
          <w:szCs w:val="32"/>
        </w:rPr>
        <w:t>1</w:t>
      </w:r>
      <w:r>
        <w:rPr>
          <w:rFonts w:ascii="Times New Roman" w:hAnsi="仿宋_GB2312" w:cs="Times New Roman"/>
          <w:color w:val="auto"/>
          <w:szCs w:val="32"/>
        </w:rPr>
        <w:t>、项目经济性分析</w:t>
      </w:r>
    </w:p>
    <w:p>
      <w:pPr>
        <w:spacing w:line="560" w:lineRule="exact"/>
        <w:ind w:firstLine="594" w:firstLineChars="200"/>
        <w:rPr>
          <w:rFonts w:ascii="Times New Roman" w:hAnsi="Times New Roman" w:cs="Times New Roman"/>
          <w:color w:val="auto"/>
          <w:kern w:val="0"/>
          <w:szCs w:val="32"/>
        </w:rPr>
      </w:pPr>
      <w:r>
        <w:rPr>
          <w:rFonts w:ascii="Times New Roman" w:hAnsi="Times New Roman" w:cs="Times New Roman"/>
          <w:color w:val="auto"/>
          <w:kern w:val="0"/>
          <w:szCs w:val="32"/>
        </w:rPr>
        <w:t>呈贡区教育体育局对各合作办学学校公费学位学生人数进行认真梳理核查，根据与各合作办学学校签订的《合作办学协议》约定，并按</w:t>
      </w:r>
      <w:r>
        <w:rPr>
          <w:rFonts w:hint="eastAsia" w:ascii="Times New Roman" w:hAnsi="Times New Roman" w:cs="Times New Roman"/>
          <w:color w:val="auto"/>
          <w:kern w:val="0"/>
          <w:szCs w:val="32"/>
        </w:rPr>
        <w:t>《昆明市呈贡区人民政府关于调整呈贡区合作办学学校区级财政供养教师标准的批复》（呈政复</w:t>
      </w:r>
      <w:r>
        <w:rPr>
          <w:rFonts w:ascii="Times New Roman" w:hAnsi="Times New Roman" w:cs="Times New Roman"/>
          <w:color w:val="auto"/>
          <w:szCs w:val="32"/>
        </w:rPr>
        <w:t>〔201</w:t>
      </w:r>
      <w:r>
        <w:rPr>
          <w:rFonts w:hint="eastAsia" w:ascii="Times New Roman" w:hAnsi="Times New Roman" w:cs="Times New Roman"/>
          <w:color w:val="auto"/>
          <w:szCs w:val="32"/>
        </w:rPr>
        <w:t>9</w:t>
      </w:r>
      <w:r>
        <w:rPr>
          <w:rFonts w:ascii="Times New Roman" w:hAnsi="Times New Roman" w:cs="Times New Roman"/>
          <w:color w:val="auto"/>
          <w:szCs w:val="32"/>
        </w:rPr>
        <w:t>〕</w:t>
      </w:r>
      <w:r>
        <w:rPr>
          <w:rFonts w:hint="eastAsia" w:ascii="Times New Roman" w:hAnsi="Times New Roman" w:cs="Times New Roman"/>
          <w:color w:val="auto"/>
          <w:kern w:val="0"/>
          <w:szCs w:val="32"/>
        </w:rPr>
        <w:t>197号）</w:t>
      </w:r>
      <w:r>
        <w:rPr>
          <w:rFonts w:ascii="Times New Roman" w:hAnsi="Times New Roman" w:cs="Times New Roman"/>
          <w:color w:val="auto"/>
          <w:kern w:val="0"/>
          <w:szCs w:val="32"/>
        </w:rPr>
        <w:t>中的供养标准，对各学校的教师供养经费进行认真核算、严格审批。项目资金的拨付均按计划进行，成本控制在预算内。</w:t>
      </w:r>
    </w:p>
    <w:p>
      <w:pPr>
        <w:widowControl/>
        <w:snapToGrid w:val="0"/>
        <w:spacing w:line="560" w:lineRule="exact"/>
        <w:ind w:firstLine="594" w:firstLineChars="200"/>
        <w:jc w:val="left"/>
        <w:rPr>
          <w:rFonts w:ascii="Times New Roman" w:hAnsi="Times New Roman" w:cs="Times New Roman"/>
          <w:color w:val="auto"/>
          <w:kern w:val="0"/>
          <w:szCs w:val="32"/>
        </w:rPr>
      </w:pPr>
      <w:r>
        <w:rPr>
          <w:rFonts w:ascii="Times New Roman" w:hAnsi="Times New Roman" w:cs="Times New Roman"/>
          <w:color w:val="auto"/>
          <w:kern w:val="0"/>
          <w:szCs w:val="32"/>
        </w:rPr>
        <w:t>20</w:t>
      </w:r>
      <w:r>
        <w:rPr>
          <w:rFonts w:hint="eastAsia" w:ascii="Times New Roman" w:hAnsi="Times New Roman" w:cs="Times New Roman"/>
          <w:color w:val="auto"/>
          <w:kern w:val="0"/>
          <w:szCs w:val="32"/>
        </w:rPr>
        <w:t>2</w:t>
      </w:r>
      <w:r>
        <w:rPr>
          <w:rFonts w:hint="eastAsia" w:ascii="Times New Roman" w:hAnsi="Times New Roman" w:cs="Times New Roman"/>
          <w:color w:val="auto"/>
          <w:kern w:val="0"/>
          <w:szCs w:val="32"/>
          <w:lang w:val="en-US" w:eastAsia="zh-CN"/>
        </w:rPr>
        <w:t>2</w:t>
      </w:r>
      <w:r>
        <w:rPr>
          <w:rFonts w:ascii="Times New Roman" w:hAnsi="Times New Roman" w:cs="Times New Roman"/>
          <w:color w:val="auto"/>
          <w:kern w:val="0"/>
          <w:szCs w:val="32"/>
        </w:rPr>
        <w:t>年度昆明市呈贡区合作办学学校教师供养实际使用资金</w:t>
      </w:r>
      <w:r>
        <w:rPr>
          <w:rFonts w:hint="eastAsia" w:ascii="Times New Roman" w:hAnsi="Times New Roman" w:cs="Times New Roman"/>
          <w:color w:val="auto"/>
          <w:szCs w:val="32"/>
          <w:lang w:val="en-US" w:eastAsia="zh-CN"/>
        </w:rPr>
        <w:t>2344.7277</w:t>
      </w:r>
      <w:r>
        <w:rPr>
          <w:rFonts w:ascii="Times New Roman" w:hAnsi="Times New Roman" w:cs="Times New Roman"/>
          <w:color w:val="auto"/>
          <w:szCs w:val="32"/>
        </w:rPr>
        <w:t>万元</w:t>
      </w:r>
      <w:r>
        <w:rPr>
          <w:rFonts w:ascii="Times New Roman" w:hAnsi="Times New Roman" w:cs="Times New Roman"/>
          <w:color w:val="auto"/>
          <w:kern w:val="0"/>
          <w:szCs w:val="32"/>
        </w:rPr>
        <w:t xml:space="preserve">，无结余资金，该项资金全部用于教师工资的发放上，不存在截留和挪用资金的现象。  </w:t>
      </w:r>
    </w:p>
    <w:p>
      <w:pPr>
        <w:spacing w:line="560" w:lineRule="exact"/>
        <w:ind w:firstLine="594" w:firstLineChars="200"/>
        <w:rPr>
          <w:rFonts w:ascii="Times New Roman" w:hAnsi="Times New Roman" w:cs="Times New Roman"/>
          <w:color w:val="auto"/>
          <w:kern w:val="0"/>
          <w:szCs w:val="32"/>
        </w:rPr>
      </w:pPr>
      <w:r>
        <w:rPr>
          <w:rFonts w:ascii="Times New Roman" w:hAnsi="Times New Roman" w:cs="Times New Roman"/>
          <w:color w:val="auto"/>
          <w:kern w:val="0"/>
          <w:szCs w:val="32"/>
        </w:rPr>
        <w:t>2、项目的效率性分析</w:t>
      </w:r>
    </w:p>
    <w:p>
      <w:pPr>
        <w:spacing w:line="560" w:lineRule="exact"/>
        <w:ind w:firstLine="594" w:firstLineChars="200"/>
        <w:rPr>
          <w:rFonts w:ascii="Times New Roman" w:hAnsi="Times New Roman" w:cs="Times New Roman"/>
          <w:color w:val="auto"/>
          <w:kern w:val="0"/>
          <w:szCs w:val="32"/>
        </w:rPr>
      </w:pPr>
      <w:r>
        <w:rPr>
          <w:rFonts w:ascii="Times New Roman" w:hAnsi="Times New Roman" w:cs="Times New Roman"/>
          <w:color w:val="auto"/>
          <w:kern w:val="0"/>
          <w:szCs w:val="32"/>
        </w:rPr>
        <w:t>截止20</w:t>
      </w:r>
      <w:r>
        <w:rPr>
          <w:rFonts w:hint="eastAsia" w:ascii="Times New Roman" w:hAnsi="Times New Roman" w:cs="Times New Roman"/>
          <w:color w:val="auto"/>
          <w:kern w:val="0"/>
          <w:szCs w:val="32"/>
        </w:rPr>
        <w:t>2</w:t>
      </w:r>
      <w:r>
        <w:rPr>
          <w:rFonts w:hint="eastAsia" w:ascii="Times New Roman" w:hAnsi="Times New Roman" w:cs="Times New Roman"/>
          <w:color w:val="auto"/>
          <w:kern w:val="0"/>
          <w:szCs w:val="32"/>
          <w:lang w:val="en-US" w:eastAsia="zh-CN"/>
        </w:rPr>
        <w:t>2</w:t>
      </w:r>
      <w:r>
        <w:rPr>
          <w:rFonts w:ascii="Times New Roman" w:hAnsi="Times New Roman" w:cs="Times New Roman"/>
          <w:color w:val="auto"/>
          <w:kern w:val="0"/>
          <w:szCs w:val="32"/>
        </w:rPr>
        <w:t>年12月，合作办学学校教师供养经费项目所实施的4项内容已按要求完成，各学校均按要求把教师供养经费进行了分账核算，按照适用范围列支。20</w:t>
      </w:r>
      <w:r>
        <w:rPr>
          <w:rFonts w:hint="eastAsia" w:ascii="Times New Roman" w:hAnsi="Times New Roman" w:cs="Times New Roman"/>
          <w:color w:val="auto"/>
          <w:kern w:val="0"/>
          <w:szCs w:val="32"/>
        </w:rPr>
        <w:t>2</w:t>
      </w:r>
      <w:r>
        <w:rPr>
          <w:rFonts w:hint="eastAsia" w:ascii="Times New Roman" w:hAnsi="Times New Roman" w:cs="Times New Roman"/>
          <w:color w:val="auto"/>
          <w:kern w:val="0"/>
          <w:szCs w:val="32"/>
          <w:lang w:val="en-US" w:eastAsia="zh-CN"/>
        </w:rPr>
        <w:t>2</w:t>
      </w:r>
      <w:r>
        <w:rPr>
          <w:rFonts w:ascii="Times New Roman" w:hAnsi="Times New Roman" w:cs="Times New Roman"/>
          <w:color w:val="auto"/>
          <w:kern w:val="0"/>
          <w:szCs w:val="32"/>
        </w:rPr>
        <w:t>年度该项目资金严格按照项目管理制度规定执行，各学校资金使用合规、合法，项目完成质量较好。</w:t>
      </w:r>
    </w:p>
    <w:p>
      <w:pPr>
        <w:spacing w:line="560" w:lineRule="exact"/>
        <w:ind w:firstLine="594" w:firstLineChars="200"/>
        <w:rPr>
          <w:rFonts w:ascii="Times New Roman" w:hAnsi="Times New Roman" w:cs="Times New Roman"/>
          <w:color w:val="auto"/>
          <w:kern w:val="0"/>
          <w:szCs w:val="32"/>
        </w:rPr>
      </w:pPr>
      <w:r>
        <w:rPr>
          <w:rFonts w:ascii="Times New Roman" w:hAnsi="Times New Roman" w:cs="Times New Roman"/>
          <w:color w:val="auto"/>
          <w:kern w:val="0"/>
          <w:szCs w:val="32"/>
        </w:rPr>
        <w:t>3、项目的效益性分析</w:t>
      </w:r>
    </w:p>
    <w:p>
      <w:pPr>
        <w:topLinePunct/>
        <w:ind w:firstLine="594" w:firstLineChars="200"/>
        <w:rPr>
          <w:rFonts w:ascii="Times New Roman" w:hAnsi="Times New Roman" w:cs="Times New Roman"/>
          <w:color w:val="auto"/>
          <w:szCs w:val="32"/>
        </w:rPr>
      </w:pPr>
      <w:r>
        <w:rPr>
          <w:rFonts w:ascii="Times New Roman" w:hAnsi="Times New Roman" w:cs="Times New Roman"/>
          <w:color w:val="auto"/>
          <w:kern w:val="0"/>
          <w:szCs w:val="32"/>
        </w:rPr>
        <w:t>通过项目实施使合作办学学校得到部分财政资金的支持，极大地调动了办学积极性，也有力支持了学校的建设发展。合作办学学校聘用的优秀教师、骨干教师进得来、留得住、干得好，为有效提高我区学校教育质量提供了强有力的保障。呈贡</w:t>
      </w:r>
      <w:r>
        <w:rPr>
          <w:rFonts w:ascii="Times New Roman" w:hAnsi="仿宋_GB2312" w:cs="Times New Roman"/>
          <w:color w:val="auto"/>
          <w:szCs w:val="32"/>
        </w:rPr>
        <w:t>区优质教育资源增量扩优，为拉动经济建设、聚集人气发挥积极作用。优质教育资源覆盖面不断扩大，人民群众真正享受到</w:t>
      </w:r>
      <w:r>
        <w:rPr>
          <w:rFonts w:hint="eastAsia" w:ascii="Times New Roman" w:hAnsi="仿宋_GB2312" w:cs="Times New Roman"/>
          <w:color w:val="auto"/>
          <w:szCs w:val="32"/>
          <w:lang w:eastAsia="zh-CN"/>
        </w:rPr>
        <w:t>呈贡</w:t>
      </w:r>
      <w:r>
        <w:rPr>
          <w:rFonts w:ascii="Times New Roman" w:hAnsi="仿宋_GB2312" w:cs="Times New Roman"/>
          <w:color w:val="auto"/>
          <w:szCs w:val="32"/>
        </w:rPr>
        <w:t>区建设带来的实惠，</w:t>
      </w:r>
      <w:r>
        <w:rPr>
          <w:rFonts w:ascii="Times New Roman" w:hAnsi="仿宋_GB2312" w:cs="Times New Roman"/>
          <w:color w:val="auto"/>
          <w:kern w:val="0"/>
          <w:szCs w:val="32"/>
        </w:rPr>
        <w:t>群众满意度大幅度提高</w:t>
      </w:r>
      <w:r>
        <w:rPr>
          <w:rFonts w:hint="eastAsia" w:ascii="Times New Roman" w:hAnsi="仿宋_GB2312" w:cs="Times New Roman"/>
          <w:color w:val="auto"/>
          <w:kern w:val="0"/>
          <w:szCs w:val="32"/>
          <w:lang w:eastAsia="zh-CN"/>
        </w:rPr>
        <w:t>，</w:t>
      </w:r>
      <w:r>
        <w:rPr>
          <w:rFonts w:ascii="Times New Roman" w:hAnsi="Times New Roman" w:cs="Times New Roman"/>
          <w:color w:val="auto"/>
          <w:szCs w:val="32"/>
        </w:rPr>
        <w:t>教育发展成果惠及面日益扩大。</w:t>
      </w:r>
    </w:p>
    <w:p>
      <w:pPr>
        <w:topLinePunct/>
        <w:ind w:firstLine="594" w:firstLineChars="200"/>
        <w:rPr>
          <w:rFonts w:ascii="黑体" w:eastAsia="黑体"/>
          <w:color w:val="auto"/>
          <w:szCs w:val="32"/>
        </w:rPr>
      </w:pPr>
      <w:r>
        <w:rPr>
          <w:rFonts w:hint="eastAsia" w:ascii="黑体" w:eastAsia="黑体"/>
          <w:color w:val="auto"/>
          <w:szCs w:val="32"/>
          <w:lang w:eastAsia="zh-CN"/>
        </w:rPr>
        <w:t>五</w:t>
      </w:r>
      <w:r>
        <w:rPr>
          <w:rFonts w:hint="eastAsia" w:ascii="黑体" w:eastAsia="黑体"/>
          <w:color w:val="auto"/>
          <w:szCs w:val="32"/>
        </w:rPr>
        <w:t>、存在的问题</w:t>
      </w:r>
    </w:p>
    <w:p>
      <w:pPr>
        <w:spacing w:line="560" w:lineRule="exact"/>
        <w:ind w:firstLine="582" w:firstLineChars="196"/>
        <w:rPr>
          <w:rFonts w:ascii="Times New Roman" w:hAnsi="Times New Roman" w:eastAsia="黑体" w:cs="Times New Roman"/>
          <w:bCs/>
          <w:color w:val="auto"/>
          <w:szCs w:val="32"/>
        </w:rPr>
      </w:pPr>
      <w:r>
        <w:rPr>
          <w:rFonts w:ascii="Times New Roman" w:hAnsi="Times New Roman" w:cs="Times New Roman"/>
          <w:color w:val="auto"/>
          <w:kern w:val="0"/>
          <w:szCs w:val="32"/>
        </w:rPr>
        <w:t>无。</w:t>
      </w:r>
    </w:p>
    <w:p>
      <w:pPr>
        <w:topLinePunct/>
        <w:ind w:firstLine="594" w:firstLineChars="200"/>
        <w:rPr>
          <w:rFonts w:ascii="黑体" w:eastAsia="黑体"/>
          <w:color w:val="auto"/>
          <w:szCs w:val="32"/>
        </w:rPr>
      </w:pPr>
      <w:r>
        <w:rPr>
          <w:rFonts w:hint="eastAsia" w:ascii="黑体" w:eastAsia="黑体"/>
          <w:color w:val="auto"/>
          <w:szCs w:val="32"/>
          <w:lang w:eastAsia="zh-CN"/>
        </w:rPr>
        <w:t>六</w:t>
      </w:r>
      <w:r>
        <w:rPr>
          <w:rFonts w:hint="eastAsia" w:ascii="黑体" w:eastAsia="黑体"/>
          <w:color w:val="auto"/>
          <w:szCs w:val="32"/>
        </w:rPr>
        <w:t>、其他需要说明的问题</w:t>
      </w:r>
    </w:p>
    <w:p>
      <w:pPr>
        <w:topLinePunct/>
        <w:spacing w:line="560" w:lineRule="exact"/>
        <w:ind w:firstLine="594" w:firstLineChars="200"/>
      </w:pPr>
      <w:r>
        <w:rPr>
          <w:rFonts w:ascii="Times New Roman" w:hAnsi="Times New Roman" w:cs="Times New Roman"/>
          <w:color w:val="auto"/>
          <w:szCs w:val="32"/>
        </w:rPr>
        <w:t>今后，</w:t>
      </w:r>
      <w:r>
        <w:rPr>
          <w:rFonts w:hint="eastAsia" w:ascii="Times New Roman" w:hAnsi="Times New Roman" w:cs="Times New Roman"/>
          <w:color w:val="auto"/>
          <w:szCs w:val="32"/>
          <w:lang w:eastAsia="zh-CN"/>
        </w:rPr>
        <w:t>区教育体育</w:t>
      </w:r>
      <w:r>
        <w:rPr>
          <w:rFonts w:ascii="Times New Roman" w:hAnsi="Times New Roman" w:cs="Times New Roman"/>
          <w:color w:val="auto"/>
          <w:szCs w:val="32"/>
        </w:rPr>
        <w:t>局将进一</w:t>
      </w:r>
      <w:bookmarkStart w:id="0" w:name="_GoBack"/>
      <w:bookmarkEnd w:id="0"/>
      <w:r>
        <w:rPr>
          <w:rFonts w:ascii="Times New Roman" w:hAnsi="Times New Roman" w:cs="Times New Roman"/>
          <w:color w:val="auto"/>
          <w:szCs w:val="32"/>
        </w:rPr>
        <w:t>步完善对于合作办学学校的各项管理制度，管好、用好教师供养资金，确保合作办学学校进一步提高办学水平和教育教学质量，促进合作办学学校健康持续发展，使合作办学学校为我区教育事业的发展做出新的更大贡献。</w:t>
      </w:r>
    </w:p>
    <w:sectPr>
      <w:pgSz w:w="11906" w:h="16838"/>
      <w:pgMar w:top="2098" w:right="1531" w:bottom="175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209C20FA"/>
    <w:rsid w:val="378A5996"/>
    <w:rsid w:val="55B99049"/>
    <w:rsid w:val="5A3C6978"/>
    <w:rsid w:val="67600811"/>
    <w:rsid w:val="6E9EA2CD"/>
    <w:rsid w:val="76FA2BB9"/>
    <w:rsid w:val="B05DADBD"/>
    <w:rsid w:val="B9DF79FC"/>
    <w:rsid w:val="CFCF87E6"/>
    <w:rsid w:val="EBADC66B"/>
    <w:rsid w:val="F6EE0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jyjcg</dc:creator>
  <cp:lastModifiedBy>kmcg</cp:lastModifiedBy>
  <dcterms:modified xsi:type="dcterms:W3CDTF">2023-09-26T11:05:57Z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