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spacing w:line="600" w:lineRule="exact"/>
        <w:jc w:val="center"/>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项目支出绩效评价报告（市局下达本土疫情及其他集中隔离观察费用补助经费）</w:t>
      </w:r>
    </w:p>
    <w:p>
      <w:pPr>
        <w:jc w:val="both"/>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highlight w:val="none"/>
          <w:lang w:val="en-US"/>
        </w:rPr>
      </w:pPr>
      <w:r>
        <w:rPr>
          <w:rFonts w:hint="eastAsia"/>
          <w:lang w:val="en-US" w:eastAsia="zh-CN"/>
        </w:rPr>
        <w:t>自8.16、9.06本土疫情以来，昆明市各区县承担的经济压力较大</w:t>
      </w:r>
      <w:r>
        <w:rPr>
          <w:rFonts w:hint="eastAsia"/>
          <w:highlight w:val="none"/>
          <w:lang w:val="en-US" w:eastAsia="zh-CN"/>
        </w:rPr>
        <w:t>。为缓解各区县疫情防控压力，市级按各区县本土疫情隔离人员人数统筹各县市区本土疫情隔离资金，我区按本土疫情隔离留观人数下拨资金538.1690万元，用于支付我区各隔离酒店本土疫情期间产生的费用。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二、项目单位绩效报告情况</w:t>
      </w:r>
    </w:p>
    <w:p>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highlight w:val="none"/>
        </w:rPr>
      </w:pPr>
      <w:r>
        <w:rPr>
          <w:rFonts w:hint="eastAsia"/>
          <w:highlight w:val="none"/>
          <w:lang w:val="en-US" w:eastAsia="zh-CN"/>
        </w:rPr>
        <w:t>市局本土疫情集中隔离观察费用，有效缓解了我区本土疫情期间的疫情防控资金压力，保障我区各集中隔离酒店的正常运行，为我区疫情防控提供了强有力的保障，阻止了我区疫情扩展蔓延，从而保障了我区广大群众的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三</w:t>
      </w:r>
      <w:r>
        <w:rPr>
          <w:rFonts w:hint="eastAsia" w:ascii="黑体" w:hAnsi="黑体" w:eastAsia="黑体" w:cs="黑体"/>
          <w:b w:val="0"/>
          <w:bCs/>
          <w:szCs w:val="32"/>
          <w:highlight w:val="none"/>
        </w:rPr>
        <w:t>、绩效评价指标分析情况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（一）项目资金情况分析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rPr>
      </w:pPr>
      <w:r>
        <w:rPr>
          <w:rFonts w:ascii="仿宋_GB2312"/>
          <w:szCs w:val="32"/>
          <w:highlight w:val="none"/>
        </w:rPr>
        <w:t>1.</w:t>
      </w:r>
      <w:r>
        <w:rPr>
          <w:rFonts w:hint="eastAsia" w:ascii="仿宋_GB2312"/>
          <w:szCs w:val="32"/>
          <w:highlight w:val="none"/>
        </w:rPr>
        <w:t>项目资金到位情况</w:t>
      </w:r>
      <w:r>
        <w:rPr>
          <w:rFonts w:hint="eastAsia" w:ascii="仿宋_GB2312"/>
          <w:szCs w:val="32"/>
          <w:highlight w:val="none"/>
          <w:lang w:eastAsia="zh-CN"/>
        </w:rPr>
        <w:t>：</w:t>
      </w:r>
      <w:r>
        <w:rPr>
          <w:rFonts w:hint="eastAsia" w:cs="Times New Roman"/>
          <w:szCs w:val="32"/>
          <w:lang w:eastAsia="zh-CN"/>
        </w:rPr>
        <w:t>市</w:t>
      </w:r>
      <w:r>
        <w:rPr>
          <w:rFonts w:hint="default" w:ascii="Times New Roman" w:hAnsi="Times New Roman" w:eastAsia="仿宋_GB2312" w:cs="Times New Roman"/>
          <w:szCs w:val="32"/>
        </w:rPr>
        <w:t>级配套资金到位率达100%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lang w:eastAsia="zh-CN"/>
        </w:rPr>
      </w:pPr>
      <w:r>
        <w:rPr>
          <w:rFonts w:ascii="仿宋_GB2312"/>
          <w:szCs w:val="32"/>
          <w:highlight w:val="none"/>
        </w:rPr>
        <w:t>2.</w:t>
      </w:r>
      <w:r>
        <w:rPr>
          <w:rFonts w:hint="eastAsia" w:ascii="仿宋_GB2312"/>
          <w:szCs w:val="32"/>
          <w:highlight w:val="none"/>
        </w:rPr>
        <w:t>项目资金使用情况</w:t>
      </w:r>
      <w:r>
        <w:rPr>
          <w:rFonts w:hint="eastAsia" w:ascii="仿宋_GB2312"/>
          <w:szCs w:val="32"/>
          <w:highlight w:val="none"/>
          <w:lang w:eastAsia="zh-CN"/>
        </w:rPr>
        <w:t>：</w:t>
      </w:r>
      <w:r>
        <w:rPr>
          <w:rFonts w:hint="eastAsia" w:ascii="仿宋_GB2312"/>
          <w:szCs w:val="32"/>
          <w:lang w:eastAsia="zh-CN"/>
        </w:rPr>
        <w:t>市局下达本土疫情及其他集中隔离观察费用补助经费到位后，我局对昆明市委党校、万峰隔离点、雨花交通场站隔离点、铭春酒店、全季酒店进行费用拨付。各集中隔离场所拨付明细详见附件</w:t>
      </w:r>
      <w:r>
        <w:rPr>
          <w:rFonts w:hint="eastAsia" w:ascii="仿宋_GB2312"/>
          <w:szCs w:val="32"/>
          <w:lang w:val="en-US" w:eastAsia="zh-CN"/>
        </w:rPr>
        <w:t>2</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3.</w:t>
      </w:r>
      <w:r>
        <w:rPr>
          <w:rFonts w:hint="eastAsia" w:ascii="仿宋_GB2312"/>
          <w:szCs w:val="32"/>
          <w:highlight w:val="none"/>
        </w:rPr>
        <w:t>项目资金管理情况</w:t>
      </w:r>
      <w:r>
        <w:rPr>
          <w:rFonts w:hint="eastAsia" w:ascii="仿宋_GB2312"/>
          <w:szCs w:val="32"/>
          <w:highlight w:val="none"/>
          <w:lang w:eastAsia="zh-CN"/>
        </w:rPr>
        <w:t>：</w:t>
      </w:r>
      <w:r>
        <w:rPr>
          <w:rFonts w:hint="eastAsia" w:ascii="仿宋_GB2312"/>
          <w:szCs w:val="32"/>
        </w:rPr>
        <w:t>资金</w:t>
      </w:r>
      <w:r>
        <w:rPr>
          <w:rFonts w:hint="eastAsia" w:ascii="仿宋_GB2312"/>
          <w:szCs w:val="32"/>
          <w:lang w:eastAsia="zh-CN"/>
        </w:rPr>
        <w:t>使用中我局</w:t>
      </w:r>
      <w:r>
        <w:rPr>
          <w:rFonts w:hint="eastAsia" w:ascii="仿宋_GB2312"/>
          <w:szCs w:val="32"/>
        </w:rPr>
        <w:t>严格执行项目有关制度规定，做到财务制度健全、管理规范、会计核算规范，无违规收费现象。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1</w:t>
      </w:r>
      <w:r>
        <w:rPr>
          <w:rFonts w:ascii="仿宋_GB2312"/>
          <w:szCs w:val="32"/>
        </w:rPr>
        <w:t>.</w:t>
      </w:r>
      <w:r>
        <w:rPr>
          <w:rFonts w:hint="eastAsia" w:ascii="仿宋_GB2312"/>
          <w:szCs w:val="32"/>
        </w:rPr>
        <w:t>项目的效率性分析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default" w:ascii="仿宋_GB2312" w:eastAsia="仿宋_GB2312"/>
          <w:szCs w:val="32"/>
          <w:lang w:val="en-US" w:eastAsia="zh-CN"/>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szCs w:val="32"/>
          <w:lang w:eastAsia="zh-CN"/>
        </w:rPr>
        <w:t>：市局下达本土疫情及其他集中隔离观察费用补助经费到位后，我局及时对接</w:t>
      </w:r>
      <w:r>
        <w:rPr>
          <w:rFonts w:hint="eastAsia" w:ascii="仿宋_GB2312"/>
          <w:szCs w:val="32"/>
          <w:lang w:val="en-US" w:eastAsia="zh-CN"/>
        </w:rPr>
        <w:t>各隔离酒店，已于2022年11月完成专项资金的拨付。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lang w:eastAsia="zh-CN"/>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szCs w:val="32"/>
          <w:lang w:eastAsia="zh-CN"/>
        </w:rPr>
        <w:t>：市局下达本土疫情及其他集中隔离观察费用补助经费我局按区政府要求</w:t>
      </w:r>
      <w:r>
        <w:rPr>
          <w:rFonts w:hint="eastAsia" w:ascii="仿宋_GB2312"/>
          <w:szCs w:val="32"/>
        </w:rPr>
        <w:t>严格执行项目有关制度规定</w:t>
      </w:r>
      <w:r>
        <w:rPr>
          <w:rFonts w:hint="eastAsia" w:ascii="仿宋_GB2312"/>
          <w:szCs w:val="32"/>
          <w:lang w:eastAsia="zh-CN"/>
        </w:rPr>
        <w:t>，按时完成专项资金拨付工作。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highlight w:val="none"/>
        </w:rPr>
      </w:pPr>
      <w:r>
        <w:rPr>
          <w:rFonts w:hint="eastAsia" w:ascii="仿宋_GB2312"/>
          <w:szCs w:val="32"/>
          <w:lang w:val="en-US" w:eastAsia="zh-CN"/>
        </w:rPr>
        <w:t>2</w:t>
      </w:r>
      <w:r>
        <w:rPr>
          <w:rFonts w:ascii="仿宋_GB2312"/>
          <w:szCs w:val="32"/>
        </w:rPr>
        <w:t>.</w:t>
      </w:r>
      <w:r>
        <w:rPr>
          <w:rFonts w:hint="eastAsia" w:ascii="仿宋_GB2312"/>
          <w:szCs w:val="32"/>
        </w:rPr>
        <w:t>项目的效益性分析</w:t>
      </w:r>
    </w:p>
    <w:p>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highlight w:val="none"/>
        </w:rPr>
      </w:pPr>
      <w:r>
        <w:rPr>
          <w:rFonts w:hint="eastAsia"/>
          <w:highlight w:val="none"/>
          <w:lang w:val="en-US" w:eastAsia="zh-CN"/>
        </w:rPr>
        <w:t>市局本土疫情集中隔离观察费用，有效缓解了我区本土疫情期间的疫情防控资金压力，保障我区各集中隔离酒店的正常运行，为我区疫情防控提供了强有力的保障，阻止了我区疫情扩展蔓延，从而保障了我区广大群众的生命财产安全。</w:t>
      </w:r>
    </w:p>
    <w:p>
      <w:pPr>
        <w:keepNext w:val="0"/>
        <w:keepLines w:val="0"/>
        <w:pageBreakBefore w:val="0"/>
        <w:widowControl w:val="0"/>
        <w:kinsoku/>
        <w:wordWrap/>
        <w:overflowPunct/>
        <w:topLinePunct w:val="0"/>
        <w:autoSpaceDE/>
        <w:autoSpaceDN/>
        <w:bidi w:val="0"/>
        <w:adjustRightInd/>
        <w:snapToGrid/>
        <w:spacing w:line="600" w:lineRule="exact"/>
        <w:ind w:left="1500" w:leftChars="200" w:hanging="900" w:hangingChars="300"/>
        <w:textAlignment w:val="auto"/>
        <w:rPr>
          <w:rFonts w:hint="eastAsia" w:ascii="仿宋_GB2312" w:hAnsi="宋体" w:eastAsia="仿宋_GB2312" w:cs="Times New Roman"/>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500" w:leftChars="200" w:hanging="900" w:hangingChars="300"/>
        <w:textAlignment w:val="auto"/>
        <w:rPr>
          <w:rFonts w:hint="eastAsia" w:ascii="仿宋_GB2312" w:hAnsi="宋体"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附件：</w:t>
      </w:r>
      <w:r>
        <w:rPr>
          <w:rFonts w:hint="eastAsia" w:ascii="仿宋_GB2312" w:hAnsi="宋体" w:cs="Times New Roman"/>
          <w:bCs/>
          <w:kern w:val="2"/>
          <w:sz w:val="32"/>
          <w:szCs w:val="32"/>
          <w:lang w:val="en-US" w:eastAsia="zh-CN" w:bidi="ar-SA"/>
        </w:rPr>
        <w:t>1.</w:t>
      </w:r>
      <w:r>
        <w:rPr>
          <w:rFonts w:hint="eastAsia" w:ascii="仿宋_GB2312"/>
          <w:szCs w:val="32"/>
          <w:lang w:eastAsia="zh-CN"/>
        </w:rPr>
        <w:t>市局下达本土疫情及其他集中隔离观察费用补助经费</w:t>
      </w:r>
      <w:r>
        <w:rPr>
          <w:rFonts w:hint="eastAsia" w:ascii="仿宋_GB2312" w:hAnsi="宋体" w:eastAsia="仿宋_GB2312" w:cs="Times New Roman"/>
          <w:bCs/>
          <w:kern w:val="2"/>
          <w:sz w:val="32"/>
          <w:szCs w:val="32"/>
          <w:lang w:val="en-US" w:eastAsia="zh-CN" w:bidi="ar-SA"/>
        </w:rPr>
        <w:t>项目支出绩效自评指标评分表</w:t>
      </w:r>
    </w:p>
    <w:p>
      <w:pPr>
        <w:pStyle w:val="2"/>
        <w:numPr>
          <w:ilvl w:val="0"/>
          <w:numId w:val="0"/>
        </w:numPr>
        <w:ind w:left="1800" w:leftChars="500" w:hanging="300" w:hangingChars="100"/>
        <w:jc w:val="both"/>
        <w:rPr>
          <w:rFonts w:hint="eastAsia" w:ascii="仿宋_GB2312"/>
          <w:szCs w:val="32"/>
          <w:lang w:eastAsia="zh-CN"/>
        </w:rPr>
      </w:pPr>
      <w:r>
        <w:rPr>
          <w:rFonts w:hint="eastAsia" w:ascii="仿宋_GB2312"/>
          <w:szCs w:val="32"/>
          <w:lang w:val="en-US" w:eastAsia="zh-CN"/>
        </w:rPr>
        <w:t>2.</w:t>
      </w:r>
      <w:r>
        <w:rPr>
          <w:rFonts w:hint="eastAsia" w:ascii="仿宋_GB2312"/>
          <w:szCs w:val="32"/>
          <w:lang w:eastAsia="zh-CN"/>
        </w:rPr>
        <w:t>市局下达本土疫情及其他集中隔离观察费用补助经费拨付明细表</w:t>
      </w:r>
    </w:p>
    <w:p>
      <w:pPr>
        <w:pStyle w:val="3"/>
        <w:rPr>
          <w:rFonts w:hint="eastAsia" w:ascii="仿宋_GB2312"/>
          <w:szCs w:val="32"/>
          <w:lang w:eastAsia="zh-CN"/>
        </w:rPr>
      </w:pPr>
    </w:p>
    <w:p>
      <w:pPr>
        <w:rPr>
          <w:rFonts w:hint="eastAsia" w:ascii="仿宋_GB2312"/>
          <w:szCs w:val="32"/>
          <w:lang w:eastAsia="zh-CN"/>
        </w:rPr>
      </w:pPr>
    </w:p>
    <w:p>
      <w:pPr>
        <w:pStyle w:val="3"/>
        <w:jc w:val="right"/>
        <w:rPr>
          <w:rFonts w:hint="eastAsia"/>
          <w:lang w:eastAsia="zh-CN"/>
        </w:rPr>
      </w:pPr>
      <w:r>
        <w:rPr>
          <w:rFonts w:hint="eastAsia"/>
          <w:lang w:eastAsia="zh-CN"/>
        </w:rPr>
        <w:t>昆明市呈贡区文化和旅游局</w:t>
      </w:r>
    </w:p>
    <w:p>
      <w:pPr>
        <w:jc w:val="center"/>
        <w:rPr>
          <w:rFonts w:hint="default"/>
          <w:lang w:val="en-US" w:eastAsia="zh-CN"/>
        </w:rPr>
      </w:pPr>
      <w:r>
        <w:rPr>
          <w:rFonts w:hint="eastAsia"/>
          <w:lang w:val="en-US" w:eastAsia="zh-CN"/>
        </w:rPr>
        <w:t xml:space="preserve">                                 2023年4月8日</w:t>
      </w:r>
    </w:p>
    <w:p>
      <w:pPr>
        <w:pStyle w:val="2"/>
        <w:rPr>
          <w:rFonts w:hint="eastAsia" w:ascii="仿宋_GB2312"/>
          <w:szCs w:val="32"/>
          <w:lang w:eastAsia="zh-CN"/>
        </w:rPr>
      </w:pPr>
    </w:p>
    <w:p>
      <w:pPr>
        <w:pStyle w:val="3"/>
        <w:rPr>
          <w:rFonts w:hint="eastAsia" w:ascii="仿宋_GB2312"/>
          <w:szCs w:val="32"/>
          <w:lang w:eastAsia="zh-CN"/>
        </w:rPr>
      </w:pPr>
    </w:p>
    <w:p>
      <w:pPr>
        <w:rPr>
          <w:rFonts w:hint="eastAsia" w:ascii="仿宋_GB2312"/>
          <w:szCs w:val="32"/>
          <w:lang w:eastAsia="zh-CN"/>
        </w:rPr>
      </w:pPr>
    </w:p>
    <w:p>
      <w:pPr>
        <w:pStyle w:val="2"/>
        <w:rPr>
          <w:rFonts w:hint="eastAsia" w:ascii="仿宋_GB2312"/>
          <w:szCs w:val="32"/>
          <w:lang w:eastAsia="zh-CN"/>
        </w:rPr>
      </w:pPr>
    </w:p>
    <w:p>
      <w:pPr>
        <w:pStyle w:val="3"/>
        <w:rPr>
          <w:rFonts w:hint="eastAsia" w:ascii="仿宋_GB2312"/>
          <w:szCs w:val="32"/>
          <w:lang w:eastAsia="zh-CN"/>
        </w:rPr>
      </w:pPr>
    </w:p>
    <w:p>
      <w:pPr>
        <w:rPr>
          <w:rFonts w:hint="eastAsia" w:ascii="仿宋_GB2312"/>
          <w:szCs w:val="32"/>
          <w:lang w:eastAsia="zh-CN"/>
        </w:rPr>
      </w:pPr>
    </w:p>
    <w:p>
      <w:pPr>
        <w:pStyle w:val="2"/>
        <w:rPr>
          <w:rFonts w:hint="eastAsia" w:ascii="仿宋_GB2312"/>
          <w:szCs w:val="32"/>
          <w:lang w:eastAsia="zh-CN"/>
        </w:rPr>
      </w:pPr>
    </w:p>
    <w:p>
      <w:pPr>
        <w:pStyle w:val="3"/>
        <w:rPr>
          <w:rFonts w:hint="eastAsia" w:ascii="仿宋_GB2312"/>
          <w:szCs w:val="32"/>
          <w:lang w:eastAsia="zh-CN"/>
        </w:rPr>
      </w:pPr>
    </w:p>
    <w:p>
      <w:pPr>
        <w:rPr>
          <w:rFonts w:hint="eastAsia" w:ascii="仿宋_GB2312"/>
          <w:szCs w:val="32"/>
          <w:lang w:eastAsia="zh-CN"/>
        </w:rPr>
      </w:pPr>
    </w:p>
    <w:p>
      <w:pPr>
        <w:pStyle w:val="2"/>
        <w:rPr>
          <w:rFonts w:hint="eastAsia" w:ascii="仿宋_GB2312"/>
          <w:szCs w:val="32"/>
          <w:lang w:eastAsia="zh-CN"/>
        </w:rPr>
      </w:pPr>
    </w:p>
    <w:p>
      <w:pPr>
        <w:pStyle w:val="3"/>
        <w:rPr>
          <w:rFonts w:hint="eastAsia" w:ascii="仿宋_GB2312"/>
          <w:szCs w:val="32"/>
          <w:lang w:eastAsia="zh-CN"/>
        </w:rPr>
      </w:pPr>
    </w:p>
    <w:p>
      <w:pPr>
        <w:rPr>
          <w:rFonts w:hint="eastAsia" w:ascii="仿宋_GB2312"/>
          <w:szCs w:val="32"/>
          <w:lang w:eastAsia="zh-CN"/>
        </w:rPr>
      </w:pPr>
    </w:p>
    <w:p>
      <w:pPr>
        <w:rPr>
          <w:rFonts w:hint="eastAsia" w:ascii="仿宋_GB2312"/>
          <w:szCs w:val="32"/>
          <w:lang w:eastAsia="zh-CN"/>
        </w:rPr>
      </w:pPr>
    </w:p>
    <w:p>
      <w:pPr>
        <w:pStyle w:val="2"/>
        <w:rPr>
          <w:rFonts w:hint="eastAsia" w:ascii="仿宋_GB2312"/>
          <w:szCs w:val="32"/>
          <w:lang w:eastAsia="zh-CN"/>
        </w:rPr>
      </w:pPr>
    </w:p>
    <w:p>
      <w:pPr>
        <w:pStyle w:val="3"/>
        <w:rPr>
          <w:rFonts w:hint="eastAsia" w:ascii="仿宋_GB2312"/>
          <w:szCs w:val="32"/>
          <w:lang w:eastAsia="zh-CN"/>
        </w:rPr>
      </w:pPr>
    </w:p>
    <w:p>
      <w:pPr>
        <w:rPr>
          <w:rFonts w:hint="default"/>
          <w:lang w:val="en-US" w:eastAsia="zh-CN"/>
        </w:rPr>
      </w:pPr>
      <w:r>
        <w:rPr>
          <w:rFonts w:hint="eastAsia" w:ascii="仿宋_GB2312"/>
          <w:szCs w:val="32"/>
          <w:lang w:eastAsia="zh-CN"/>
        </w:rPr>
        <w:t>附件</w:t>
      </w:r>
      <w:r>
        <w:rPr>
          <w:rFonts w:hint="eastAsia" w:ascii="仿宋_GB2312"/>
          <w:szCs w:val="32"/>
          <w:lang w:val="en-US" w:eastAsia="zh-CN"/>
        </w:rPr>
        <w:t>1：</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2775"/>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499" w:hRule="atLeast"/>
          <w:tblHeader/>
        </w:trPr>
        <w:tc>
          <w:tcPr>
            <w:tcW w:w="8847" w:type="dxa"/>
            <w:gridSpan w:val="8"/>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0"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75"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83"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40"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98</w:t>
            </w:r>
          </w:p>
        </w:tc>
        <w:tc>
          <w:tcPr>
            <w:tcW w:w="2775"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rPr>
          <w:rFonts w:hint="eastAsia"/>
          <w:lang w:eastAsia="zh-CN"/>
        </w:rPr>
        <w:sectPr>
          <w:footerReference r:id="rId3" w:type="default"/>
          <w:footerReference r:id="rId4" w:type="even"/>
          <w:pgSz w:w="11907" w:h="16840"/>
          <w:pgMar w:top="2098" w:right="1531" w:bottom="1984" w:left="1531" w:header="851" w:footer="1304" w:gutter="0"/>
          <w:cols w:space="720" w:num="1"/>
          <w:rtlGutter w:val="0"/>
          <w:docGrid w:type="linesAndChars" w:linePitch="587" w:charSpace="-4148"/>
        </w:sectPr>
      </w:pPr>
    </w:p>
    <w:tbl>
      <w:tblPr>
        <w:tblStyle w:val="5"/>
        <w:tblpPr w:leftFromText="180" w:rightFromText="180" w:vertAnchor="text" w:horzAnchor="page" w:tblpX="1057" w:tblpY="1263"/>
        <w:tblOverlap w:val="never"/>
        <w:tblW w:w="15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155"/>
        <w:gridCol w:w="1287"/>
        <w:gridCol w:w="1026"/>
        <w:gridCol w:w="1274"/>
        <w:gridCol w:w="1260"/>
        <w:gridCol w:w="3585"/>
        <w:gridCol w:w="1245"/>
        <w:gridCol w:w="1261"/>
        <w:gridCol w:w="1246"/>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15001" w:type="dxa"/>
            <w:gridSpan w:val="11"/>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上级下达疫情防控补助资金拨付明细表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酒店名称</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预拨5.1-8.30后剩余预估费用</w:t>
            </w:r>
          </w:p>
        </w:tc>
        <w:tc>
          <w:tcPr>
            <w:tcW w:w="3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预拨费用</w:t>
            </w:r>
          </w:p>
        </w:tc>
        <w:tc>
          <w:tcPr>
            <w:tcW w:w="7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列支项目及金额</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预估剩余金额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3"/>
                <w:szCs w:val="23"/>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3"/>
                <w:szCs w:val="23"/>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3"/>
                <w:szCs w:val="23"/>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金  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合计预拨</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列支项目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总金额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列支金额</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剩余金额</w:t>
            </w: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呈贡万峰隔离观察点B</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5-7月已拨付300万元；拨8-9月运营费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8月-9月住宿费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500000.00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700000.00 </w:t>
            </w:r>
          </w:p>
        </w:tc>
        <w:tc>
          <w:tcPr>
            <w:tcW w:w="358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下达重点地区返昆云南籍人员集中各类观察场所补助资金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552460.00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552460.00 </w:t>
            </w:r>
          </w:p>
        </w:tc>
        <w:tc>
          <w:tcPr>
            <w:tcW w:w="12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0.00 </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根据审定金额确定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8月-9月餐费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200000.00 </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FF0000"/>
                <w:sz w:val="23"/>
                <w:szCs w:val="23"/>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下达本土疫情及其他集中隔隔离观察费用补助经费(1)</w:t>
            </w:r>
          </w:p>
        </w:tc>
        <w:tc>
          <w:tcPr>
            <w:tcW w:w="124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2118990.00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147540.00 </w:t>
            </w:r>
          </w:p>
        </w:tc>
        <w:tc>
          <w:tcPr>
            <w:tcW w:w="124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1971450.00 </w:t>
            </w: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呈贡雨花场站隔离点C</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2434177.00 </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食宿费</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1000000.00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1000000.00 </w:t>
            </w:r>
          </w:p>
        </w:tc>
        <w:tc>
          <w:tcPr>
            <w:tcW w:w="3585"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下达A类集中隔离场所补助经费(1)</w:t>
            </w:r>
          </w:p>
        </w:tc>
        <w:tc>
          <w:tcPr>
            <w:tcW w:w="1245"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1062865.20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102865.20 </w:t>
            </w:r>
          </w:p>
        </w:tc>
        <w:tc>
          <w:tcPr>
            <w:tcW w:w="1246"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960000.00 </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1434177.00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3"/>
                <w:szCs w:val="23"/>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FF0000"/>
                <w:sz w:val="23"/>
                <w:szCs w:val="23"/>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下达本土疫情及其他集中隔隔离观察费用补助经费(2)</w:t>
            </w:r>
          </w:p>
        </w:tc>
        <w:tc>
          <w:tcPr>
            <w:tcW w:w="124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1971450.00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897134.80 </w:t>
            </w:r>
          </w:p>
        </w:tc>
        <w:tc>
          <w:tcPr>
            <w:tcW w:w="124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1074315.20 </w:t>
            </w: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鑫盛达宏晟国际酒店A</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2610851.00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住宿费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750000.00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960000.00 </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下达A类集中隔离场所补助经费(2)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960000.00 </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960000.00 </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0.00 </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1650851.00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餐费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210000.00 </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FF0000"/>
                <w:sz w:val="23"/>
                <w:szCs w:val="23"/>
                <w:u w:val="none"/>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8EA9DB"/>
            <w:vAlign w:val="center"/>
          </w:tcPr>
          <w:p>
            <w:pPr>
              <w:jc w:val="center"/>
              <w:rPr>
                <w:rFonts w:hint="eastAsia" w:ascii="宋体" w:hAnsi="宋体" w:eastAsia="宋体" w:cs="宋体"/>
                <w:i w:val="0"/>
                <w:iCs w:val="0"/>
                <w:color w:val="000000"/>
                <w:sz w:val="23"/>
                <w:szCs w:val="23"/>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8EA9DB"/>
            <w:vAlign w:val="center"/>
          </w:tcPr>
          <w:p>
            <w:pPr>
              <w:jc w:val="right"/>
              <w:rPr>
                <w:rFonts w:hint="default" w:ascii="Times New Roman" w:hAnsi="Times New Roman" w:eastAsia="宋体" w:cs="Times New Roman"/>
                <w:i w:val="0"/>
                <w:iCs w:val="0"/>
                <w:color w:val="000000"/>
                <w:sz w:val="23"/>
                <w:szCs w:val="23"/>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FF0000"/>
                <w:sz w:val="23"/>
                <w:szCs w:val="23"/>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8EA9DB"/>
            <w:vAlign w:val="center"/>
          </w:tcPr>
          <w:p>
            <w:pPr>
              <w:jc w:val="right"/>
              <w:rPr>
                <w:rFonts w:hint="default" w:ascii="Times New Roman" w:hAnsi="Times New Roman" w:eastAsia="宋体" w:cs="Times New Roman"/>
                <w:i w:val="0"/>
                <w:iCs w:val="0"/>
                <w:color w:val="000000"/>
                <w:sz w:val="23"/>
                <w:szCs w:val="23"/>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铭春温泉度假酒店B</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5570484.00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住宿费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1400000.00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1883985.20 </w:t>
            </w:r>
          </w:p>
        </w:tc>
        <w:tc>
          <w:tcPr>
            <w:tcW w:w="358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下达本土疫情及其他集中隔隔离观察费用补助经费(3)</w:t>
            </w:r>
          </w:p>
        </w:tc>
        <w:tc>
          <w:tcPr>
            <w:tcW w:w="124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1074315.20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874315.20 </w:t>
            </w:r>
          </w:p>
        </w:tc>
        <w:tc>
          <w:tcPr>
            <w:tcW w:w="124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200000.00 </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3686498.80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餐费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483985.20 </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FF0000"/>
                <w:sz w:val="23"/>
                <w:szCs w:val="23"/>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下达2022年本土疫情及学生群体集中隔离观察场所中央补助经费(1)</w:t>
            </w:r>
          </w:p>
        </w:tc>
        <w:tc>
          <w:tcPr>
            <w:tcW w:w="1245"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1409670.00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1009670.00 </w:t>
            </w:r>
          </w:p>
        </w:tc>
        <w:tc>
          <w:tcPr>
            <w:tcW w:w="124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400000.00 </w:t>
            </w: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全季呈贡斗南花市酒店C</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1293269.80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住宿费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400000.00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600000.00 </w:t>
            </w:r>
          </w:p>
        </w:tc>
        <w:tc>
          <w:tcPr>
            <w:tcW w:w="358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下达本土疫情及其他集中隔隔离观察费用补助经费(4)</w:t>
            </w:r>
          </w:p>
        </w:tc>
        <w:tc>
          <w:tcPr>
            <w:tcW w:w="124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200000.00 </w:t>
            </w:r>
          </w:p>
        </w:tc>
        <w:tc>
          <w:tcPr>
            <w:tcW w:w="1246"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0.00 </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693269.80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3"/>
                <w:szCs w:val="23"/>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餐费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200000.00 </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FF0000"/>
                <w:sz w:val="23"/>
                <w:szCs w:val="23"/>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下达2022年本土疫情及学生群体集中隔离观察场所中央补助经费(2)</w:t>
            </w:r>
          </w:p>
        </w:tc>
        <w:tc>
          <w:tcPr>
            <w:tcW w:w="1245"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400000.00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400000.00 </w:t>
            </w:r>
          </w:p>
        </w:tc>
        <w:tc>
          <w:tcPr>
            <w:tcW w:w="1246" w:type="dxa"/>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 xml:space="preserve">0.00 </w:t>
            </w: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合计</w:t>
            </w:r>
          </w:p>
        </w:tc>
        <w:tc>
          <w:tcPr>
            <w:tcW w:w="6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5143985.20 </w:t>
            </w:r>
          </w:p>
        </w:tc>
        <w:tc>
          <w:tcPr>
            <w:tcW w:w="37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3"/>
                <w:szCs w:val="23"/>
                <w:u w:val="none"/>
              </w:rPr>
            </w:pPr>
            <w:r>
              <w:rPr>
                <w:rFonts w:hint="default" w:ascii="Times New Roman" w:hAnsi="Times New Roman" w:eastAsia="宋体" w:cs="Times New Roman"/>
                <w:i w:val="0"/>
                <w:iCs w:val="0"/>
                <w:color w:val="FF0000"/>
                <w:kern w:val="0"/>
                <w:sz w:val="23"/>
                <w:szCs w:val="23"/>
                <w:u w:val="none"/>
                <w:lang w:val="en-US" w:eastAsia="zh-CN" w:bidi="ar"/>
              </w:rPr>
              <w:t xml:space="preserve">5143985.20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3"/>
                <w:szCs w:val="23"/>
                <w:u w:val="none"/>
              </w:rPr>
            </w:pPr>
            <w:r>
              <w:rPr>
                <w:rFonts w:hint="default" w:ascii="Times New Roman" w:hAnsi="Times New Roman" w:eastAsia="宋体" w:cs="Times New Roman"/>
                <w:i w:val="0"/>
                <w:iCs w:val="0"/>
                <w:color w:val="000000"/>
                <w:kern w:val="0"/>
                <w:sz w:val="23"/>
                <w:szCs w:val="23"/>
                <w:u w:val="none"/>
                <w:lang w:val="en-US" w:eastAsia="zh-CN" w:bidi="ar"/>
              </w:rPr>
              <w:t>7464796.6</w:t>
            </w:r>
          </w:p>
        </w:tc>
      </w:tr>
    </w:tbl>
    <w:p>
      <w:pPr>
        <w:rPr>
          <w:rFonts w:hint="eastAsia"/>
          <w:lang w:eastAsia="zh-CN"/>
        </w:rPr>
        <w:sectPr>
          <w:pgSz w:w="16840" w:h="11907" w:orient="landscape"/>
          <w:pgMar w:top="1531" w:right="2098" w:bottom="1531" w:left="1984" w:header="851" w:footer="1304" w:gutter="0"/>
          <w:cols w:space="720" w:num="1"/>
          <w:rtlGutter w:val="0"/>
          <w:docGrid w:type="linesAndChars" w:linePitch="587" w:charSpace="-4148"/>
        </w:sectPr>
      </w:pPr>
    </w:p>
    <w:p>
      <w:pPr>
        <w:pStyle w:val="2"/>
        <w:jc w:val="both"/>
        <w:rPr>
          <w:rFonts w:hint="default"/>
          <w:lang w:val="en-US" w:eastAsia="zh-CN"/>
        </w:rPr>
      </w:pPr>
    </w:p>
    <w:sectPr>
      <w:pgSz w:w="11907" w:h="16840"/>
      <w:pgMar w:top="2098" w:right="1531" w:bottom="1984" w:left="1531" w:header="851" w:footer="1304" w:gutter="0"/>
      <w:cols w:space="720" w:num="1"/>
      <w:rtlGutter w:val="0"/>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11</w:t>
    </w:r>
    <w:r>
      <w:rPr>
        <w:rFonts w:ascii="宋体" w:hAnsi="宋体" w:eastAsia="宋体"/>
        <w:sz w:val="28"/>
      </w:rPr>
      <w:fldChar w:fldCharType="end"/>
    </w:r>
    <w:r>
      <w:rPr>
        <w:rStyle w:val="7"/>
        <w:rFonts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12</w:t>
    </w:r>
    <w:r>
      <w:rPr>
        <w:rFonts w:ascii="宋体" w:hAnsi="宋体" w:eastAsia="宋体"/>
        <w:sz w:val="28"/>
      </w:rPr>
      <w:fldChar w:fldCharType="end"/>
    </w:r>
    <w:r>
      <w:rPr>
        <w:rStyle w:val="7"/>
        <w:rFonts w:ascii="宋体" w:hAnsi="宋体" w:eastAsia="宋体"/>
        <w:sz w:val="28"/>
      </w:rPr>
      <w:t>—</w:t>
    </w:r>
  </w:p>
  <w:p>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s>
  <w:rsids>
    <w:rsidRoot w:val="33D20645"/>
    <w:rsid w:val="06D05500"/>
    <w:rsid w:val="0A485FCD"/>
    <w:rsid w:val="10783826"/>
    <w:rsid w:val="165F63FA"/>
    <w:rsid w:val="196D7F36"/>
    <w:rsid w:val="24CC2CDA"/>
    <w:rsid w:val="2EEE046B"/>
    <w:rsid w:val="30BC49B2"/>
    <w:rsid w:val="33D20645"/>
    <w:rsid w:val="36E12FD6"/>
    <w:rsid w:val="37F60FE9"/>
    <w:rsid w:val="387454E6"/>
    <w:rsid w:val="3F433126"/>
    <w:rsid w:val="456F6C7E"/>
    <w:rsid w:val="49525A4D"/>
    <w:rsid w:val="4E1E0C68"/>
    <w:rsid w:val="50CE7226"/>
    <w:rsid w:val="566E02DF"/>
    <w:rsid w:val="61D27A84"/>
    <w:rsid w:val="62315D01"/>
    <w:rsid w:val="628B7B94"/>
    <w:rsid w:val="674C749F"/>
    <w:rsid w:val="6777050B"/>
    <w:rsid w:val="67C84C1F"/>
    <w:rsid w:val="69A47FF6"/>
    <w:rsid w:val="6A4C4EDF"/>
    <w:rsid w:val="7800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next w:val="3"/>
    <w:qFormat/>
    <w:uiPriority w:val="99"/>
    <w:pPr>
      <w:jc w:val="center"/>
    </w:pPr>
    <w:rPr>
      <w:rFonts w:ascii="宋体" w:hAnsi="宋体"/>
      <w:bCs/>
    </w:rPr>
  </w:style>
  <w:style w:type="paragraph" w:customStyle="1" w:styleId="3">
    <w:name w:val="TOC5"/>
    <w:basedOn w:val="1"/>
    <w:next w:val="1"/>
    <w:qFormat/>
    <w:uiPriority w:val="99"/>
    <w:pPr>
      <w:ind w:left="1680" w:leftChars="800"/>
    </w:pPr>
  </w:style>
  <w:style w:type="paragraph" w:styleId="4">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6</Pages>
  <Words>2690</Words>
  <Characters>3200</Characters>
  <Lines>0</Lines>
  <Paragraphs>0</Paragraphs>
  <TotalTime>2</TotalTime>
  <ScaleCrop>false</ScaleCrop>
  <LinksUpToDate>false</LinksUpToDate>
  <CharactersWithSpaces>3315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Administrator</cp:lastModifiedBy>
  <dcterms:modified xsi:type="dcterms:W3CDTF">2023-09-27T01:51:00Z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1D98B2460041433AB3BB29806682656A</vt:lpwstr>
  </property>
</Properties>
</file>