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项目支出绩效评价报告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蓝光天娇疫情期间集中隔离观察场所专项资金</w:t>
      </w:r>
      <w:r>
        <w:rPr>
          <w:rFonts w:hint="eastAsia" w:ascii="方正小标宋简体" w:hAnsi="方正小标宋简体" w:eastAsia="方正小标宋简体" w:cs="方正小标宋简体"/>
          <w:sz w:val="44"/>
          <w:szCs w:val="44"/>
          <w:lang w:eastAsia="zh-CN"/>
        </w:rPr>
        <w:t>）</w:t>
      </w:r>
    </w:p>
    <w:p>
      <w:pPr>
        <w:rPr>
          <w:rFonts w:ascii="仿宋_GB2312"/>
          <w:szCs w:val="32"/>
        </w:rPr>
      </w:pP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一、基本情况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（一）项目概况</w:t>
      </w:r>
    </w:p>
    <w:p>
      <w:pPr>
        <w:pStyle w:val="2"/>
        <w:spacing w:line="600" w:lineRule="exact"/>
        <w:ind w:firstLine="600" w:firstLineChars="200"/>
        <w:jc w:val="left"/>
      </w:pPr>
      <w:r>
        <w:rPr>
          <w:rFonts w:hint="eastAsia"/>
        </w:rPr>
        <w:t>隔离场所是疫情联防联控的最前沿，是内防扩散的主战场，自2021年12月24日昆明市呈贡区雨花街道蓝光天娇小区突发疫情，为应对我区集中隔离及转运需要，我局紧急征用26家酒店作为集中隔离观察场所，通过区疫情防控指挥部、政府专班工作人员、酒店工作人员的共同努力，在有关隔离场所顺利进行住宿安排、核酸检测、功能分区、安全管控、现场消杀、餐饮等服务工作，实现了各集中隔离场所安全运行，防止了疫情的扩散，有效的保障了我区广大群众的生命及财产安全。</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二、项目单位绩效报告情况</w:t>
      </w:r>
    </w:p>
    <w:p>
      <w:pPr>
        <w:pStyle w:val="2"/>
        <w:spacing w:line="600" w:lineRule="exact"/>
        <w:ind w:firstLine="600" w:firstLineChars="200"/>
        <w:jc w:val="left"/>
      </w:pPr>
      <w:r>
        <w:rPr>
          <w:rFonts w:hint="eastAsia"/>
        </w:rPr>
        <w:t>呈贡区蓝光天娇疫情启用的26家酒店启用期间安全运行，防止了疫情的扩散</w:t>
      </w:r>
      <w:r>
        <w:rPr>
          <w:rFonts w:hint="eastAsia"/>
          <w:highlight w:val="none"/>
        </w:rPr>
        <w:t>，有效保障了</w:t>
      </w:r>
      <w:r>
        <w:rPr>
          <w:rFonts w:hint="eastAsia"/>
        </w:rPr>
        <w:t>我区广大群众的生命及财产安全。</w:t>
      </w:r>
    </w:p>
    <w:p>
      <w:pPr>
        <w:spacing w:line="600" w:lineRule="exact"/>
        <w:ind w:firstLine="600" w:firstLineChars="200"/>
        <w:rPr>
          <w:rFonts w:ascii="黑体" w:hAnsi="黑体" w:eastAsia="黑体" w:cs="黑体"/>
          <w:bCs/>
          <w:szCs w:val="32"/>
        </w:rPr>
      </w:pPr>
      <w:r>
        <w:rPr>
          <w:rFonts w:hint="eastAsia" w:ascii="黑体" w:hAnsi="黑体" w:eastAsia="黑体" w:cs="黑体"/>
          <w:bCs/>
          <w:szCs w:val="32"/>
        </w:rPr>
        <w:t>三、绩效评价指标分析情况</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（一）项目资金情况分析</w:t>
      </w:r>
    </w:p>
    <w:p>
      <w:pPr>
        <w:spacing w:line="600" w:lineRule="exact"/>
        <w:ind w:firstLine="600" w:firstLineChars="200"/>
        <w:outlineLvl w:val="0"/>
      </w:pPr>
      <w:r>
        <w:rPr>
          <w:rFonts w:ascii="仿宋_GB2312"/>
          <w:szCs w:val="32"/>
        </w:rPr>
        <w:t>1.</w:t>
      </w:r>
      <w:r>
        <w:rPr>
          <w:rFonts w:hint="eastAsia" w:ascii="仿宋_GB2312"/>
          <w:szCs w:val="32"/>
        </w:rPr>
        <w:t>项目资金到位情况：</w:t>
      </w:r>
      <w:r>
        <w:rPr>
          <w:szCs w:val="32"/>
        </w:rPr>
        <w:t>区级配套资金到位率达100%</w:t>
      </w:r>
    </w:p>
    <w:p>
      <w:pPr>
        <w:spacing w:line="600" w:lineRule="exact"/>
        <w:ind w:firstLine="600" w:firstLineChars="200"/>
        <w:outlineLvl w:val="0"/>
        <w:rPr>
          <w:rFonts w:ascii="仿宋_GB2312"/>
          <w:szCs w:val="32"/>
        </w:rPr>
      </w:pPr>
      <w:r>
        <w:rPr>
          <w:rFonts w:ascii="仿宋_GB2312"/>
          <w:szCs w:val="32"/>
        </w:rPr>
        <w:t>2.</w:t>
      </w:r>
      <w:r>
        <w:rPr>
          <w:rFonts w:hint="eastAsia" w:ascii="仿宋_GB2312"/>
          <w:szCs w:val="32"/>
        </w:rPr>
        <w:t>项目资金使用情况：疫情防控专项资金到位后，我局按第三方审计审定金额及时对接26家隔离留观酒店进行资金拨付，实拨蓝光天娇疫情防控经费</w:t>
      </w:r>
      <w:r>
        <w:rPr>
          <w:rFonts w:hint="eastAsia" w:ascii="仿宋_GB2312" w:hAnsi="仿宋_GB2312" w:cs="仿宋_GB2312"/>
          <w:szCs w:val="32"/>
        </w:rPr>
        <w:t>1632.19559万元，专项资金无结余。</w:t>
      </w:r>
    </w:p>
    <w:p>
      <w:pPr>
        <w:spacing w:line="600" w:lineRule="exact"/>
        <w:ind w:firstLine="600" w:firstLineChars="200"/>
        <w:outlineLvl w:val="0"/>
        <w:rPr>
          <w:rFonts w:ascii="仿宋_GB2312"/>
          <w:szCs w:val="32"/>
        </w:rPr>
      </w:pPr>
      <w:r>
        <w:rPr>
          <w:rFonts w:ascii="仿宋_GB2312"/>
          <w:szCs w:val="32"/>
        </w:rPr>
        <w:t>3.</w:t>
      </w:r>
      <w:r>
        <w:rPr>
          <w:rFonts w:hint="eastAsia" w:ascii="仿宋_GB2312"/>
          <w:szCs w:val="32"/>
        </w:rPr>
        <w:t>项目资金管理情况：资金使使用中我局严格执行项目有关制度规定，做到财务制度健全、管理规范、会计核算规范，无违规收费现象。</w:t>
      </w:r>
    </w:p>
    <w:p>
      <w:pPr>
        <w:spacing w:line="600" w:lineRule="exact"/>
        <w:ind w:firstLine="600"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（二）项目实施情况分析</w:t>
      </w:r>
    </w:p>
    <w:p>
      <w:pPr>
        <w:spacing w:line="600" w:lineRule="exact"/>
        <w:ind w:firstLine="600" w:firstLineChars="200"/>
        <w:outlineLvl w:val="0"/>
        <w:rPr>
          <w:rFonts w:ascii="仿宋_GB2312"/>
          <w:szCs w:val="32"/>
        </w:rPr>
      </w:pPr>
      <w:r>
        <w:rPr>
          <w:rFonts w:hint="eastAsia" w:ascii="仿宋_GB2312"/>
          <w:szCs w:val="32"/>
        </w:rPr>
        <w:t>1</w:t>
      </w:r>
      <w:r>
        <w:rPr>
          <w:rFonts w:ascii="仿宋_GB2312"/>
          <w:szCs w:val="32"/>
        </w:rPr>
        <w:t>.</w:t>
      </w:r>
      <w:r>
        <w:rPr>
          <w:rFonts w:hint="eastAsia" w:ascii="仿宋_GB2312"/>
          <w:szCs w:val="32"/>
        </w:rPr>
        <w:t>项目的效率性分析</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1</w:t>
      </w:r>
      <w:r>
        <w:rPr>
          <w:rFonts w:hint="eastAsia" w:ascii="仿宋_GB2312"/>
          <w:szCs w:val="32"/>
        </w:rPr>
        <w:t>）项目的实施进度：蓝光天娇疫情防控专项资金到位后，我局及时对接26家隔离酒店，已于2022年4月完成专项资金的拨付。</w:t>
      </w:r>
    </w:p>
    <w:p>
      <w:pPr>
        <w:spacing w:line="600" w:lineRule="exact"/>
        <w:ind w:firstLine="600" w:firstLineChars="200"/>
        <w:outlineLvl w:val="0"/>
        <w:rPr>
          <w:rFonts w:ascii="仿宋_GB2312"/>
          <w:szCs w:val="32"/>
        </w:rPr>
      </w:pPr>
      <w:r>
        <w:rPr>
          <w:rFonts w:hint="eastAsia" w:ascii="仿宋_GB2312"/>
          <w:szCs w:val="32"/>
        </w:rPr>
        <w:t>（</w:t>
      </w:r>
      <w:r>
        <w:rPr>
          <w:rFonts w:ascii="仿宋_GB2312"/>
          <w:szCs w:val="32"/>
        </w:rPr>
        <w:t>2</w:t>
      </w:r>
      <w:r>
        <w:rPr>
          <w:rFonts w:hint="eastAsia" w:ascii="仿宋_GB2312"/>
          <w:szCs w:val="32"/>
        </w:rPr>
        <w:t>）项目完成质量：蓝光天娇疫情防控专项资金我局按区政府要求严格执行项目有关制度规定，按时完成专项资金拨付工作。</w:t>
      </w:r>
    </w:p>
    <w:p>
      <w:pPr>
        <w:spacing w:line="600" w:lineRule="exact"/>
        <w:ind w:firstLine="600" w:firstLineChars="200"/>
        <w:outlineLvl w:val="0"/>
        <w:rPr>
          <w:rFonts w:ascii="仿宋_GB2312"/>
          <w:szCs w:val="32"/>
        </w:rPr>
      </w:pPr>
      <w:r>
        <w:rPr>
          <w:rFonts w:hint="eastAsia" w:ascii="仿宋_GB2312"/>
          <w:szCs w:val="32"/>
        </w:rPr>
        <w:t>2</w:t>
      </w:r>
      <w:r>
        <w:rPr>
          <w:rFonts w:ascii="仿宋_GB2312"/>
          <w:szCs w:val="32"/>
        </w:rPr>
        <w:t>.</w:t>
      </w:r>
      <w:r>
        <w:rPr>
          <w:rFonts w:hint="eastAsia" w:ascii="仿宋_GB2312"/>
          <w:szCs w:val="32"/>
        </w:rPr>
        <w:t>项目的效益性分析</w:t>
      </w:r>
    </w:p>
    <w:p>
      <w:pPr>
        <w:pStyle w:val="2"/>
        <w:spacing w:line="600" w:lineRule="exact"/>
        <w:ind w:firstLine="600" w:firstLineChars="200"/>
        <w:jc w:val="left"/>
        <w:rPr>
          <w:rFonts w:ascii="仿宋_GB2312" w:hAnsi="宋体"/>
          <w:bCs/>
          <w:szCs w:val="32"/>
        </w:rPr>
      </w:pPr>
      <w:r>
        <w:rPr>
          <w:rFonts w:hint="eastAsia" w:ascii="仿宋_GB2312"/>
          <w:szCs w:val="32"/>
        </w:rPr>
        <w:t>项目实施对经济和社会的影响：</w:t>
      </w:r>
      <w:r>
        <w:rPr>
          <w:rFonts w:hint="eastAsia"/>
        </w:rPr>
        <w:t>呈贡区蓝</w:t>
      </w:r>
      <w:bookmarkStart w:id="0" w:name="_GoBack"/>
      <w:r>
        <w:rPr>
          <w:rFonts w:hint="eastAsia"/>
          <w:highlight w:val="none"/>
        </w:rPr>
        <w:t>光天娇疫情启用的26家酒店启用期间安全运行，防止了疫情的扩散，有效保障了</w:t>
      </w:r>
      <w:bookmarkEnd w:id="0"/>
      <w:r>
        <w:rPr>
          <w:rFonts w:hint="eastAsia"/>
        </w:rPr>
        <w:t>我区广大群众的生命及财产安全。</w:t>
      </w:r>
    </w:p>
    <w:p>
      <w:pPr>
        <w:spacing w:line="600" w:lineRule="exact"/>
        <w:ind w:left="1500" w:leftChars="200" w:hanging="900" w:hangingChars="300"/>
        <w:rPr>
          <w:rFonts w:hint="eastAsia" w:ascii="仿宋_GB2312" w:hAnsi="宋体"/>
          <w:bCs/>
          <w:szCs w:val="32"/>
        </w:rPr>
      </w:pPr>
      <w:r>
        <w:rPr>
          <w:rFonts w:hint="eastAsia" w:ascii="仿宋_GB2312" w:hAnsi="宋体"/>
          <w:bCs/>
          <w:szCs w:val="32"/>
        </w:rPr>
        <w:t>附件：蓝光天娇疫情期间集中隔离观察场所专项资金项目支出绩效自评指标评分表</w:t>
      </w:r>
    </w:p>
    <w:tbl>
      <w:tblPr>
        <w:tblStyle w:val="5"/>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97</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3"/>
        <w:ind w:left="0" w:leftChars="0" w:firstLine="0" w:firstLineChars="0"/>
        <w:jc w:val="both"/>
        <w:rPr>
          <w:rFonts w:hint="eastAsia"/>
        </w:rPr>
      </w:pPr>
    </w:p>
    <w:p>
      <w:pPr>
        <w:pStyle w:val="3"/>
        <w:ind w:left="0" w:leftChars="0" w:firstLine="4800" w:firstLineChars="1600"/>
        <w:jc w:val="both"/>
      </w:pPr>
      <w:r>
        <w:rPr>
          <w:rFonts w:hint="eastAsia"/>
        </w:rPr>
        <w:t>昆明市呈贡区文化和旅游局</w:t>
      </w:r>
    </w:p>
    <w:p>
      <w:pPr>
        <w:jc w:val="center"/>
      </w:pPr>
      <w:r>
        <w:rPr>
          <w:rFonts w:hint="eastAsia"/>
        </w:rPr>
        <w:t xml:space="preserve">                               2023年4月</w:t>
      </w:r>
      <w:r>
        <w:rPr>
          <w:rFonts w:hint="eastAsia"/>
          <w:lang w:val="en-US" w:eastAsia="zh-CN"/>
        </w:rPr>
        <w:t>8</w:t>
      </w:r>
      <w:r>
        <w:rPr>
          <w:rFonts w:hint="eastAsia"/>
        </w:rPr>
        <w:t>日</w:t>
      </w:r>
    </w:p>
    <w:sectPr>
      <w:footerReference r:id="rId3" w:type="default"/>
      <w:footerReference r:id="rId4" w:type="even"/>
      <w:pgSz w:w="11907" w:h="16840"/>
      <w:pgMar w:top="2098" w:right="1531" w:bottom="1984" w:left="1531" w:header="851" w:footer="1304" w:gutter="0"/>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7"/>
        <w:rFonts w:ascii="宋体" w:hAnsi="宋体" w:eastAsia="宋体"/>
        <w:sz w:val="28"/>
      </w:rPr>
    </w:pPr>
    <w:r>
      <w:rPr>
        <w:rStyle w:val="7"/>
        <w:rFonts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11</w:t>
    </w:r>
    <w:r>
      <w:rPr>
        <w:rFonts w:ascii="宋体" w:hAnsi="宋体" w:eastAsia="宋体"/>
        <w:sz w:val="28"/>
      </w:rPr>
      <w:fldChar w:fldCharType="end"/>
    </w:r>
    <w:r>
      <w:rPr>
        <w:rStyle w:val="7"/>
        <w:rFonts w:ascii="宋体" w:hAnsi="宋体" w:eastAsia="宋体"/>
        <w:sz w:val="28"/>
      </w:rPr>
      <w:t>—</w:t>
    </w:r>
  </w:p>
  <w:p>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7"/>
        <w:rFonts w:ascii="宋体" w:hAnsi="宋体" w:eastAsia="宋体"/>
        <w:sz w:val="28"/>
      </w:rPr>
    </w:pPr>
    <w:r>
      <w:rPr>
        <w:rStyle w:val="7"/>
        <w:rFonts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12</w:t>
    </w:r>
    <w:r>
      <w:rPr>
        <w:rFonts w:ascii="宋体" w:hAnsi="宋体" w:eastAsia="宋体"/>
        <w:sz w:val="28"/>
      </w:rPr>
      <w:fldChar w:fldCharType="end"/>
    </w:r>
    <w:r>
      <w:rPr>
        <w:rStyle w:val="7"/>
        <w:rFonts w:ascii="宋体" w:hAnsi="宋体" w:eastAsia="宋体"/>
        <w:sz w:val="28"/>
      </w:rPr>
      <w:t>—</w:t>
    </w:r>
  </w:p>
  <w:p>
    <w:pPr>
      <w:pStyle w:val="4"/>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MGJjODhkYWRiODIwM2FjMDNlMzI4MTJiYTVmZGUifQ=="/>
  </w:docVars>
  <w:rsids>
    <w:rsidRoot w:val="33D20645"/>
    <w:rsid w:val="003F1011"/>
    <w:rsid w:val="005912B6"/>
    <w:rsid w:val="005F31FE"/>
    <w:rsid w:val="00B93F2F"/>
    <w:rsid w:val="00E019E3"/>
    <w:rsid w:val="00EF65EF"/>
    <w:rsid w:val="098521C5"/>
    <w:rsid w:val="19B65058"/>
    <w:rsid w:val="33D20645"/>
    <w:rsid w:val="3A3E0A25"/>
    <w:rsid w:val="3CF50EF0"/>
    <w:rsid w:val="400C5122"/>
    <w:rsid w:val="50F71C4B"/>
    <w:rsid w:val="572648C3"/>
    <w:rsid w:val="674C749F"/>
    <w:rsid w:val="689E075E"/>
    <w:rsid w:val="73B608DE"/>
    <w:rsid w:val="75A66EA3"/>
    <w:rsid w:val="76F33EFB"/>
    <w:rsid w:val="77770AF7"/>
    <w:rsid w:val="7A6D6F79"/>
    <w:rsid w:val="7B2F16E9"/>
    <w:rsid w:val="7EB3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
    <w:basedOn w:val="1"/>
    <w:next w:val="3"/>
    <w:qFormat/>
    <w:uiPriority w:val="99"/>
    <w:pPr>
      <w:jc w:val="center"/>
    </w:pPr>
    <w:rPr>
      <w:rFonts w:ascii="宋体" w:hAnsi="宋体"/>
      <w:bCs/>
    </w:rPr>
  </w:style>
  <w:style w:type="paragraph" w:customStyle="1" w:styleId="3">
    <w:name w:val="TOC5"/>
    <w:basedOn w:val="1"/>
    <w:next w:val="1"/>
    <w:qFormat/>
    <w:uiPriority w:val="99"/>
    <w:pPr>
      <w:ind w:left="1680" w:leftChars="8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昆明市呈贡区党政机关单位</Company>
  <Pages>4</Pages>
  <Words>2185</Words>
  <Characters>2245</Characters>
  <Lines>6</Lines>
  <Paragraphs>1</Paragraphs>
  <TotalTime>5</TotalTime>
  <ScaleCrop>false</ScaleCrop>
  <LinksUpToDate>false</LinksUpToDate>
  <CharactersWithSpaces>2305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2023-04-04T07:47:00Z</dcterms:created>
  <dc:creator>H♚M</dc:creator>
  <cp:lastModifiedBy>Administrator</cp:lastModifiedBy>
  <dcterms:modified xsi:type="dcterms:W3CDTF">2023-09-27T01:49:48Z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595855E46A44452BB5C49FD5389EBD98</vt:lpwstr>
  </property>
</Properties>
</file>