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小古城社区基础设施建设（一期）项目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LNUHNF+SimSun" w:eastAsia="仿宋_GB2312"/>
          <w:color w:val="000000"/>
          <w:sz w:val="32"/>
          <w:szCs w:val="32"/>
        </w:rPr>
        <w:t>为适应新型城镇化发展和呈贡区建设的需要，提升城乡人居环境、完善配套基础设施建设，努力把呈贡区斗南街道小古城社区建设成为房屋质量优良，环境优美的新型社区，按照区委、政府要求，需尽快启动小古城社区基础设施建设（一期）项目。通过项目建设，可以改善目前村内道路路面破旧、交通混乱、电线网线私接乱搭、建筑外立面杂乱现象，有利于加速斗南片区建设进程，优化城市格局，完善城市功能，提升城市的综合竞争力。项目地点：呈贡区斗南街道小古城村、溪波村。建设内容：两个村庄道路建设、强弱电改造、文化创作墙建设等。项目建设主体：昆明市呈贡区斗南街道办事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topLinePunct/>
        <w:ind w:left="-2" w:leftChars="0" w:firstLine="594" w:firstLine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pStyle w:val="2"/>
        <w:ind w:firstLine="640"/>
        <w:rPr>
          <w:rFonts w:hint="eastAsia" w:ascii="仿宋_GB2312"/>
          <w:szCs w:val="32"/>
        </w:rPr>
      </w:pPr>
      <w:r>
        <w:rPr>
          <w:rFonts w:hint="eastAsia" w:ascii="仿宋_GB2312" w:hAnsi="LNUHNF+SimSun" w:eastAsia="仿宋_GB2312"/>
          <w:color w:val="000000"/>
          <w:sz w:val="32"/>
          <w:szCs w:val="32"/>
        </w:rPr>
        <w:t>积极适应呈贡区新型城镇化发展的需要，提升城乡人居环境、完善住房保障体系和配套基础设施建设，把村庄建设和新型城镇化建设有机结合起来，努力把呈贡区斗南街道小古城村、溪波村建设成房屋质量优良、环境优美的美丽村庄。建设</w:t>
      </w:r>
      <w:r>
        <w:rPr>
          <w:rFonts w:hint="eastAsia" w:ascii="仿宋_GB2312" w:hAnsi="AUWCNV+TimesNewRomanPSMT" w:eastAsia="仿宋_GB2312"/>
          <w:color w:val="000000"/>
          <w:sz w:val="32"/>
          <w:szCs w:val="32"/>
        </w:rPr>
        <w:t>1437</w:t>
      </w:r>
      <w:r>
        <w:rPr>
          <w:rFonts w:hint="eastAsia" w:ascii="仿宋_GB2312" w:hAnsi="LNUHNF+SimSun" w:eastAsia="仿宋_GB2312"/>
          <w:color w:val="000000"/>
          <w:sz w:val="32"/>
          <w:szCs w:val="32"/>
        </w:rPr>
        <w:t>平方米道路（其中，小古城村</w:t>
      </w:r>
      <w:r>
        <w:rPr>
          <w:rFonts w:hint="eastAsia" w:ascii="仿宋_GB2312" w:hAnsi="AUWCNV+TimesNewRomanPSMT" w:eastAsia="仿宋_GB2312"/>
          <w:color w:val="000000"/>
          <w:sz w:val="32"/>
          <w:szCs w:val="32"/>
        </w:rPr>
        <w:t>862</w:t>
      </w:r>
      <w:r>
        <w:rPr>
          <w:rFonts w:hint="eastAsia" w:ascii="仿宋_GB2312" w:hAnsi="LNUHNF+SimSun" w:eastAsia="仿宋_GB2312"/>
          <w:color w:val="000000"/>
          <w:sz w:val="32"/>
          <w:szCs w:val="32"/>
        </w:rPr>
        <w:t>平方米，溪波村</w:t>
      </w:r>
      <w:r>
        <w:rPr>
          <w:rFonts w:hint="eastAsia" w:ascii="仿宋_GB2312" w:hAnsi="AUWCNV+TimesNewRomanPSMT" w:eastAsia="仿宋_GB2312"/>
          <w:color w:val="000000"/>
          <w:sz w:val="32"/>
          <w:szCs w:val="32"/>
        </w:rPr>
        <w:t>575</w:t>
      </w:r>
      <w:r>
        <w:rPr>
          <w:rFonts w:hint="eastAsia" w:ascii="仿宋_GB2312" w:hAnsi="LNUHNF+SimSun" w:eastAsia="仿宋_GB2312"/>
          <w:color w:val="000000"/>
          <w:sz w:val="32"/>
          <w:szCs w:val="32"/>
        </w:rPr>
        <w:t>平方米），强弱电改造和建设文化创作墙</w:t>
      </w:r>
      <w:r>
        <w:rPr>
          <w:rFonts w:hint="eastAsia" w:ascii="仿宋_GB2312" w:hAnsi="AUWCNV+TimesNewRomanPSMT" w:eastAsia="仿宋_GB2312"/>
          <w:color w:val="000000"/>
          <w:sz w:val="32"/>
          <w:szCs w:val="32"/>
        </w:rPr>
        <w:t>170644.69</w:t>
      </w:r>
      <w:r>
        <w:rPr>
          <w:rFonts w:hint="eastAsia" w:ascii="仿宋_GB2312" w:hAnsi="LNUHNF+SimSun" w:eastAsia="仿宋_GB2312"/>
          <w:color w:val="000000"/>
          <w:sz w:val="32"/>
          <w:szCs w:val="32"/>
        </w:rPr>
        <w:t>平方米等工程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LNUHNF+SimSun" w:eastAsia="仿宋_GB2312"/>
          <w:color w:val="000000"/>
          <w:sz w:val="32"/>
          <w:szCs w:val="32"/>
        </w:rPr>
        <w:t>本项目</w:t>
      </w:r>
      <w:r>
        <w:rPr>
          <w:rFonts w:hint="eastAsia" w:ascii="仿宋_GB2312" w:hAnsi="LNUHNF+SimSun"/>
          <w:color w:val="000000"/>
          <w:sz w:val="32"/>
          <w:szCs w:val="32"/>
          <w:lang w:eastAsia="zh-CN"/>
        </w:rPr>
        <w:t>预算资金数</w:t>
      </w:r>
      <w:r>
        <w:rPr>
          <w:rFonts w:hint="eastAsia" w:ascii="仿宋_GB2312" w:hAnsi="LNUHNF+SimSun"/>
          <w:color w:val="000000"/>
          <w:sz w:val="32"/>
          <w:szCs w:val="32"/>
          <w:lang w:val="en-US" w:eastAsia="zh-CN"/>
        </w:rPr>
        <w:t>2500</w:t>
      </w:r>
      <w:r>
        <w:rPr>
          <w:rFonts w:hint="eastAsia" w:ascii="仿宋_GB2312" w:hAnsi="LNUHNF+SimSun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LNUHNF+SimSun"/>
          <w:color w:val="000000"/>
          <w:sz w:val="32"/>
          <w:szCs w:val="32"/>
          <w:lang w:val="en-US" w:eastAsia="zh-CN"/>
        </w:rPr>
        <w:t>2022年实际支付</w:t>
      </w:r>
      <w:r>
        <w:rPr>
          <w:rFonts w:hint="eastAsia" w:ascii="仿宋_GB2312" w:hAnsi="LNUHNF+SimSun" w:eastAsia="仿宋_GB2312"/>
          <w:color w:val="000000"/>
          <w:sz w:val="32"/>
          <w:szCs w:val="32"/>
        </w:rPr>
        <w:t>1535.45万元，资金来源为市级财政资金</w:t>
      </w:r>
      <w:r>
        <w:rPr>
          <w:rFonts w:hint="eastAsia" w:ascii="仿宋_GB2312" w:hAnsi="LNUHNF+SimSun"/>
          <w:color w:val="000000"/>
          <w:sz w:val="3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 w:hAnsi="LNUHNF+SimSun"/>
          <w:color w:val="000000"/>
          <w:szCs w:val="32"/>
        </w:rPr>
        <w:t>小古城社区基础设施建设（一期）项目一标段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工程地点：昆明市呈贡区斗南街道办事处小古城社区小古城村内。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主要工程内容：村庄建筑外墙刷真石漆80294.605</w:t>
      </w:r>
      <w:r>
        <w:rPr>
          <w:rFonts w:hint="eastAsia" w:ascii="Segoe UI Symbol" w:hAnsi="Segoe UI Symbol" w:eastAsia="Segoe UI Symbol" w:cs="Segoe UI Symbol"/>
          <w:color w:val="000000"/>
          <w:sz w:val="32"/>
          <w:szCs w:val="32"/>
        </w:rPr>
        <w:t>㎡</w:t>
      </w:r>
      <w:r>
        <w:rPr>
          <w:rFonts w:hint="eastAsia" w:ascii="仿宋_GB2312" w:eastAsia="仿宋_GB2312"/>
          <w:color w:val="000000"/>
          <w:sz w:val="32"/>
          <w:szCs w:val="32"/>
        </w:rPr>
        <w:t>、线条刷真石漆40346.833m、雨落管2353</w:t>
      </w:r>
      <w:r>
        <w:rPr>
          <w:rFonts w:hint="eastAsia" w:ascii="Segoe UI Symbol" w:hAnsi="Segoe UI Symbol" w:eastAsia="Segoe UI Symbol" w:cs="Segoe UI Symbol"/>
          <w:color w:val="000000"/>
          <w:sz w:val="32"/>
          <w:szCs w:val="32"/>
        </w:rPr>
        <w:t>㎡</w:t>
      </w:r>
      <w:r>
        <w:rPr>
          <w:rFonts w:hint="eastAsia" w:ascii="仿宋_GB2312" w:eastAsia="仿宋_GB2312"/>
          <w:color w:val="000000"/>
          <w:sz w:val="32"/>
          <w:szCs w:val="32"/>
        </w:rPr>
        <w:t>、内墙刷乳胶漆704.27</w:t>
      </w:r>
      <w:r>
        <w:rPr>
          <w:rFonts w:hint="eastAsia" w:ascii="Segoe UI Symbol" w:hAnsi="Segoe UI Symbol" w:eastAsia="Segoe UI Symbol" w:cs="Segoe UI Symbol"/>
          <w:color w:val="000000"/>
          <w:sz w:val="32"/>
          <w:szCs w:val="32"/>
        </w:rPr>
        <w:t>㎡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开工日期：合同开工日期2022年3月10日，实际开工日期2022年3月11日。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竣工日期：合同竣工日期2022年5月10日，实际竣工日期2022年6月23日。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000000"/>
          <w:sz w:val="32"/>
          <w:szCs w:val="32"/>
        </w:rPr>
        <w:t>竣工验收日期2022年7月26日。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该工程于2022年2月11日在昆明市公共资源交易中心进行公开招标，2022年2月21日发中标通知书，中标单位为“云南建硕建筑工程有限公司”，中标价14,494,894.78元。2022年3月8日招标人与中标人签订《建设工程施工合同》，合同价与中标价一致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</w:t>
      </w:r>
      <w:r>
        <w:rPr>
          <w:rFonts w:hint="eastAsia" w:ascii="仿宋_GB2312" w:hAnsi="LNUHNF+SimSun"/>
          <w:color w:val="000000"/>
          <w:szCs w:val="32"/>
        </w:rPr>
        <w:t>小古城社区基础设施建设（一期）项目二标段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工程地点：昆明市呈贡区斗南街道办事处小古城社区溪波村内。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主要工程内容：村庄建筑外墙刷真石漆48488.14</w:t>
      </w:r>
      <w:r>
        <w:rPr>
          <w:rFonts w:hint="eastAsia" w:ascii="Segoe UI Symbol" w:hAnsi="Segoe UI Symbol" w:eastAsia="Segoe UI Symbol" w:cs="Segoe UI Symbol"/>
          <w:color w:val="000000"/>
          <w:sz w:val="32"/>
          <w:szCs w:val="32"/>
        </w:rPr>
        <w:t>㎡</w:t>
      </w:r>
      <w:r>
        <w:rPr>
          <w:rFonts w:hint="eastAsia" w:ascii="仿宋_GB2312" w:eastAsia="仿宋_GB2312"/>
          <w:color w:val="000000"/>
          <w:sz w:val="32"/>
          <w:szCs w:val="32"/>
        </w:rPr>
        <w:t>、线条刷真石漆30935.18m、雨落管1302.83</w:t>
      </w:r>
      <w:r>
        <w:rPr>
          <w:rFonts w:hint="eastAsia" w:ascii="Segoe UI Symbol" w:hAnsi="Segoe UI Symbol" w:eastAsia="Segoe UI Symbol" w:cs="Segoe UI Symbol"/>
          <w:color w:val="000000"/>
          <w:sz w:val="32"/>
          <w:szCs w:val="32"/>
        </w:rPr>
        <w:t>㎡</w:t>
      </w:r>
      <w:r>
        <w:rPr>
          <w:rFonts w:hint="eastAsia" w:ascii="仿宋_GB2312" w:eastAsia="仿宋_GB2312"/>
          <w:color w:val="000000"/>
          <w:sz w:val="32"/>
          <w:szCs w:val="32"/>
        </w:rPr>
        <w:t>、破损道路改造501.82</w:t>
      </w:r>
      <w:r>
        <w:rPr>
          <w:rFonts w:hint="eastAsia" w:ascii="Segoe UI Symbol" w:hAnsi="Segoe UI Symbol" w:eastAsia="Segoe UI Symbol" w:cs="Segoe UI Symbol"/>
          <w:color w:val="000000"/>
          <w:sz w:val="32"/>
          <w:szCs w:val="32"/>
        </w:rPr>
        <w:t>㎡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开工日期：合同开工日期2022年3月4日，实际开工日期2022年3月11日。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竣工日期：合同竣工日期2022年5月2日，实际竣工日期2022年6月5日。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000000"/>
          <w:sz w:val="32"/>
          <w:szCs w:val="32"/>
        </w:rPr>
        <w:t>竣工验收日期2022年7月26日。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该工程于2022年2月11日在昆明市公共资源交易中心进行公开招标，2022年2月21日发中标通知书，中标单位为“云南建设装饰集团有限公司”，中标价8,042,127.62元。2022年3月8日招标人与中标人签订《建设工程施工合同》，合同价与中标价一致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spacing w:line="560" w:lineRule="exact"/>
        <w:ind w:firstLine="594" w:firstLineChars="200"/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（一）项目实施情况分析。</w:t>
      </w:r>
    </w:p>
    <w:p>
      <w:pPr>
        <w:spacing w:line="560" w:lineRule="exact"/>
        <w:ind w:firstLine="594" w:firstLineChars="200"/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1.组织情况分析。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斗南街道办事处高度重视街道城市管理综合服务中心经费项目，成立工作领导小组，由办公室主任负责，对项目实施计划、组织、运行管理和资金管理进行分级管理，每级次管理由相关主管人员负责，项目完成后对项目完成情况进行绩效考评，考核绩效指标完成情况，针对绩效评价过程中存在的问题及原因分析后提出意见并落实。</w:t>
      </w:r>
    </w:p>
    <w:p>
      <w:pPr>
        <w:spacing w:line="560" w:lineRule="exact"/>
        <w:ind w:firstLine="594" w:firstLineChars="200"/>
        <w:rPr>
          <w:rFonts w:hint="eastAsia" w:ascii="仿宋_GB2312" w:hAnsi="LNUHNF+SimSun"/>
          <w:color w:val="000000"/>
          <w:szCs w:val="32"/>
        </w:rPr>
      </w:pPr>
      <w:r>
        <w:rPr>
          <w:rFonts w:hint="eastAsia" w:ascii="仿宋_GB2312" w:hAnsi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2.项目管理情况分析。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该项工作由街道党工委委员、武装部长分管，城市管理综合服务中心主任具体负责。主要用于</w:t>
      </w:r>
      <w:r>
        <w:rPr>
          <w:rFonts w:hint="eastAsia" w:ascii="仿宋_GB2312" w:hAnsi="LNUHNF+SimSun"/>
          <w:color w:val="000000"/>
          <w:szCs w:val="32"/>
        </w:rPr>
        <w:t>小古城社区基础设施建设（一期）项目，包含小古城村和溪波村两个标段的项目建设。</w:t>
      </w:r>
    </w:p>
    <w:p>
      <w:pPr>
        <w:spacing w:line="560" w:lineRule="exact"/>
        <w:ind w:firstLine="594" w:firstLineChars="200"/>
        <w:rPr>
          <w:rFonts w:hint="eastAsia" w:ascii="仿宋_GB2312" w:hAnsi="楷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楷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）项目绩效情况分析</w:t>
      </w:r>
    </w:p>
    <w:p>
      <w:pPr>
        <w:pStyle w:val="3"/>
        <w:spacing w:before="0" w:beforeAutospacing="0" w:after="0" w:afterAutospacing="0" w:line="560" w:lineRule="exact"/>
        <w:ind w:firstLine="594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1.经济性分析，成本指标：小古城社区基础设施建设（一期）项目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资金为：1535.45万元。</w:t>
      </w:r>
    </w:p>
    <w:p>
      <w:pPr>
        <w:pStyle w:val="2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2.效益性分析，完成质量指标。100%完成了小古城村和溪波村的外立面改造工程。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3"/>
        <w:spacing w:before="0" w:beforeAutospacing="0" w:after="0" w:afterAutospacing="0" w:line="560" w:lineRule="exact"/>
        <w:ind w:firstLine="594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3.社会效益指标。</w:t>
      </w:r>
      <w:r>
        <w:rPr>
          <w:rFonts w:hint="eastAsia" w:ascii="仿宋_GB2312" w:hAnsi="LNUHNF+SimSun" w:eastAsia="仿宋_GB2312"/>
          <w:color w:val="000000"/>
          <w:sz w:val="32"/>
          <w:szCs w:val="32"/>
        </w:rPr>
        <w:t>通过项目建设，可以改善目前村内道路路面破旧、交通混乱、电线网线私接乱搭、建筑外立面杂乱现象，有利于加速斗南片区建设进程，优化城市格局，完善城市功能，提升城市的综合竞争力。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由于</w:t>
      </w:r>
      <w:r>
        <w:rPr>
          <w:rFonts w:hint="eastAsia" w:ascii="仿宋_GB2312" w:hAnsi="微软雅黑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项目工期跨度长，财政资金紧张，因此本项目资金被财政收回一部分，导致目前还未完成项目款项支付。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  <w:bookmarkStart w:id="0" w:name="_GoBack"/>
      <w:bookmarkEnd w:id="0"/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adjustRightInd w:val="0"/>
        <w:snapToGrid w:val="0"/>
        <w:spacing w:line="560" w:lineRule="exact"/>
        <w:ind w:firstLine="594" w:firstLineChars="200"/>
        <w:rPr>
          <w:rFonts w:hint="eastAsia" w:ascii="仿宋_GB2312"/>
          <w:szCs w:val="32"/>
        </w:rPr>
      </w:pPr>
      <w:r>
        <w:rPr>
          <w:rFonts w:ascii="Times New Roman" w:hAnsi="Times New Roman" w:cs="Times New Roman"/>
          <w:color w:val="191919"/>
          <w:szCs w:val="32"/>
          <w:shd w:val="clear" w:color="auto" w:fill="FFFFFF"/>
        </w:rPr>
        <w:t>街道根据实际情况，结合部门岗位职责，制定符合单位实际并具有可操作性的各项目绩效目标，并将其细化分解为具体的绩效考核目标；对绩效目标进行细化和量化，建立健全预算绩效管理制度体系，完善和优化预算绩效管理运行机制；街道办做好成本控制、进度跟踪、结果检查工作，管理者做好总体把控工作，确保绩效目标保质保量，准时完成。</w:t>
      </w:r>
    </w:p>
    <w:p>
      <w:pPr>
        <w:numPr>
          <w:numId w:val="0"/>
        </w:numPr>
        <w:topLinePunct/>
        <w:ind w:left="592" w:left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（二）</w:t>
      </w:r>
      <w:r>
        <w:rPr>
          <w:rFonts w:hint="eastAsia" w:ascii="仿宋_GB2312"/>
          <w:szCs w:val="32"/>
        </w:rPr>
        <w:t>主要经验做法、改进措施和有关建议等。</w:t>
      </w:r>
    </w:p>
    <w:p>
      <w:p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ascii="Times New Roman" w:hAnsi="Times New Roman" w:cs="Times New Roman"/>
          <w:color w:val="191919"/>
          <w:szCs w:val="32"/>
        </w:rPr>
        <w:t>逐步完善本单位内部控制制度体系建设，在单位合规性内部控制制度体系建设的基础上，结合单位内控制度与单位实际运行情况，按照各科室要求和实际业务管理需求，细化主要经济活动的操作规程，细化岗位操作要求和职责，确保内控制度与流程的有效落地。</w:t>
      </w:r>
    </w:p>
    <w:p>
      <w:pPr>
        <w:numPr>
          <w:numId w:val="0"/>
        </w:numPr>
        <w:topLinePunct/>
        <w:ind w:leftChars="200"/>
        <w:rPr>
          <w:rFonts w:hint="eastAsia" w:ascii="仿宋_GB2312"/>
          <w:szCs w:val="32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LNUHNF+SimSun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UWCNV+TimesNewRomanPSM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43867"/>
    <w:multiLevelType w:val="singleLevel"/>
    <w:tmpl w:val="39543867"/>
    <w:lvl w:ilvl="0" w:tentative="0">
      <w:start w:val="2"/>
      <w:numFmt w:val="chineseCounting"/>
      <w:suff w:val="nothing"/>
      <w:lvlText w:val="（%1）"/>
      <w:lvlJc w:val="left"/>
      <w:pPr>
        <w:ind w:left="-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378A5996"/>
    <w:rsid w:val="3D0F060A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2023-04-03T09:38:58Z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