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9</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2022年中央城市管网及污水处理补助资金（万溪核心区655亩范围内横一路、横二路、向阳路（一期）三条路建设项目支出绩效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outlineLvl w:val="0"/>
        <w:rPr>
          <w:rFonts w:ascii="仿宋_GB2312"/>
          <w:szCs w:val="32"/>
        </w:rPr>
      </w:pPr>
      <w:bookmarkStart w:id="0" w:name="_Toc30514894"/>
      <w:r>
        <w:rPr>
          <w:rFonts w:hint="eastAsia" w:ascii="仿宋_GB2312" w:hAnsi="仿宋_GB2312" w:eastAsia="仿宋_GB2312" w:cs="仿宋_GB2312"/>
          <w:b w:val="0"/>
          <w:bCs w:val="0"/>
          <w:sz w:val="32"/>
          <w:szCs w:val="32"/>
          <w:highlight w:val="none"/>
          <w:lang w:val="en-US" w:eastAsia="zh-CN"/>
        </w:rPr>
        <w:t>655亩三条路项目于</w:t>
      </w:r>
      <w:bookmarkStart w:id="2" w:name="_GoBack"/>
      <w:bookmarkEnd w:id="2"/>
      <w:r>
        <w:rPr>
          <w:rFonts w:hint="eastAsia" w:ascii="仿宋_GB2312" w:hAnsi="仿宋_GB2312" w:eastAsia="仿宋_GB2312" w:cs="仿宋_GB2312"/>
          <w:b w:val="0"/>
          <w:bCs w:val="0"/>
          <w:sz w:val="32"/>
          <w:szCs w:val="32"/>
          <w:highlight w:val="none"/>
          <w:lang w:val="en-US" w:eastAsia="zh-CN"/>
        </w:rPr>
        <w:t>2020年7月取得区发改局立项批复，位于呈贡信息产业园区万溪核心区二期655亩用地范围内，项目投资约15256.45万元，其中横一路长547.062米，宽20米、横二路长522.694米，宽20米、向阳路（一期）长648.504米，宽20米，主要建设内容为道路、交通、给排水、电力、电信、照明、绿化、燃气、管线综合、海绵化设计等。同时，根据区行政审批局关于初步设计的批复、洪水影响评价报告的批复，还需在实施地块土石方工程中修建生态排洪沟</w:t>
      </w:r>
      <w:r>
        <w:rPr>
          <w:rFonts w:hint="eastAsia" w:ascii="仿宋_GB2312"/>
          <w:szCs w:val="32"/>
        </w:rPr>
        <w:t>。</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numPr>
          <w:ilvl w:val="0"/>
          <w:numId w:val="0"/>
        </w:numPr>
        <w:ind w:firstLine="594" w:firstLineChars="200"/>
        <w:rPr>
          <w:rFonts w:hint="eastAsia" w:ascii="仿宋_GB2312"/>
          <w:b/>
          <w:bCs/>
          <w:szCs w:val="32"/>
          <w:lang w:val="en-US" w:eastAsia="zh-CN"/>
        </w:rPr>
      </w:pPr>
      <w:r>
        <w:rPr>
          <w:rFonts w:hint="eastAsia" w:ascii="仿宋_GB2312" w:hAnsi="仿宋_GB2312" w:eastAsia="仿宋_GB2312" w:cs="仿宋_GB2312"/>
          <w:b w:val="0"/>
          <w:bCs w:val="0"/>
          <w:sz w:val="32"/>
          <w:szCs w:val="32"/>
          <w:highlight w:val="none"/>
          <w:lang w:val="en-US" w:eastAsia="zh-CN"/>
        </w:rPr>
        <w:t>655亩三条路项目主体已基本完成建设并达到通行条件，人行道透水铺装、雨水排水系统、三维植草护坡等海绵化设施已完成建设，同时根据市海绵办专家咨询意见，现已增加了绿化带的下凹深度，增加雨水泄蓄量，生态排洪沟现已完成开挖并完成部分沟底修建，预计年底前完成生态排洪沟建设</w:t>
      </w:r>
      <w:r>
        <w:rPr>
          <w:rFonts w:hint="eastAsia" w:ascii="仿宋_GB2312"/>
          <w:szCs w:val="32"/>
          <w:lang w:eastAsia="zh-CN"/>
        </w:rPr>
        <w:t>。</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我单位已足额拨付了该项目资金</w:t>
      </w:r>
      <w:r>
        <w:rPr>
          <w:rFonts w:hint="eastAsia" w:ascii="仿宋_GB2312" w:hAnsi="仿宋_GB2312" w:cs="仿宋_GB2312"/>
          <w:sz w:val="32"/>
          <w:szCs w:val="32"/>
          <w:lang w:val="en-US" w:eastAsia="zh-CN"/>
        </w:rPr>
        <w:t>450</w:t>
      </w:r>
      <w:r>
        <w:rPr>
          <w:rFonts w:hint="eastAsia" w:ascii="仿宋_GB2312" w:hAnsi="仿宋_GB2312" w:eastAsia="仿宋_GB2312" w:cs="仿宋_GB2312"/>
          <w:sz w:val="32"/>
          <w:szCs w:val="32"/>
          <w:lang w:val="en-US" w:eastAsia="zh-CN"/>
        </w:rPr>
        <w:t>万元至昆明市智慧城市建设投资有限公司，无滞留、挤占、挪用等违法乱纪情况，资金到位率100%。截至</w:t>
      </w:r>
      <w:r>
        <w:rPr>
          <w:rFonts w:hint="eastAsia" w:ascii="仿宋_GB2312" w:hAnsi="仿宋_GB2312" w:cs="仿宋_GB2312"/>
          <w:sz w:val="32"/>
          <w:szCs w:val="32"/>
          <w:lang w:val="en-US" w:eastAsia="zh-CN"/>
        </w:rPr>
        <w:t>目前</w:t>
      </w:r>
      <w:r>
        <w:rPr>
          <w:rFonts w:hint="eastAsia" w:ascii="仿宋_GB2312" w:hAnsi="仿宋_GB2312" w:eastAsia="仿宋_GB2312" w:cs="仿宋_GB2312"/>
          <w:sz w:val="32"/>
          <w:szCs w:val="32"/>
          <w:lang w:val="en-US" w:eastAsia="zh-CN"/>
        </w:rPr>
        <w:t>，补助资金中的311.6万元已用于</w:t>
      </w:r>
      <w:r>
        <w:rPr>
          <w:rFonts w:hint="eastAsia" w:ascii="仿宋_GB2312" w:hAnsi="仿宋_GB2312" w:eastAsia="仿宋_GB2312" w:cs="仿宋_GB2312"/>
          <w:b w:val="0"/>
          <w:bCs w:val="0"/>
          <w:sz w:val="32"/>
          <w:szCs w:val="32"/>
          <w:highlight w:val="none"/>
          <w:lang w:val="en-US" w:eastAsia="zh-CN"/>
        </w:rPr>
        <w:t>655亩三条路项目海绵城市建设</w:t>
      </w:r>
      <w:r>
        <w:rPr>
          <w:rFonts w:hint="eastAsia" w:ascii="仿宋_GB2312"/>
          <w:szCs w:val="32"/>
          <w:lang w:val="en-US" w:eastAsia="zh-CN"/>
        </w:rPr>
        <w:t>。</w:t>
      </w:r>
    </w:p>
    <w:p>
      <w:pPr>
        <w:numPr>
          <w:ilvl w:val="0"/>
          <w:numId w:val="0"/>
        </w:numPr>
        <w:ind w:firstLine="594" w:firstLineChars="200"/>
        <w:outlineLvl w:val="0"/>
        <w:rPr>
          <w:rFonts w:hint="eastAsia" w:ascii="仿宋_GB2312"/>
          <w:szCs w:val="32"/>
          <w:lang w:val="en-US" w:eastAsia="zh-CN"/>
        </w:rPr>
      </w:pPr>
      <w:r>
        <w:rPr>
          <w:rFonts w:hint="eastAsia" w:ascii="仿宋_GB2312"/>
          <w:color w:val="000000" w:themeColor="text1"/>
          <w:szCs w:val="32"/>
          <w:lang w:val="en-US" w:eastAsia="zh-CN"/>
          <w14:textFill>
            <w14:solidFill>
              <w14:schemeClr w14:val="tx1"/>
            </w14:solidFill>
          </w14:textFill>
        </w:rPr>
        <w:t>项目相关</w:t>
      </w:r>
      <w:r>
        <w:rPr>
          <w:rFonts w:hint="eastAsia" w:ascii="仿宋_GB2312"/>
          <w:szCs w:val="32"/>
          <w:lang w:val="en-US" w:eastAsia="zh-CN"/>
        </w:rPr>
        <w:t>制度健全并严格执行，会计核算规范，截至2023年3月项目按规定支出费用，依据合规，无虚列项目支出、截留挤占挪用、超标准开支、超预算等情况。</w:t>
      </w:r>
      <w:r>
        <w:rPr>
          <w:rFonts w:hint="eastAsia" w:ascii="仿宋_GB2312" w:hAnsi="仿宋_GB2312" w:eastAsia="仿宋_GB2312" w:cs="仿宋_GB2312"/>
          <w:sz w:val="32"/>
          <w:szCs w:val="32"/>
          <w:lang w:val="en-US" w:eastAsia="zh-CN"/>
        </w:rPr>
        <w:t>智投公司严格按照《城市管网及污水处理补助资金管理办法》（财建〔</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144</w:t>
      </w:r>
      <w:r>
        <w:rPr>
          <w:rFonts w:hint="eastAsia" w:ascii="仿宋_GB2312" w:hAnsi="仿宋_GB2312" w:eastAsia="仿宋_GB2312" w:cs="仿宋_GB2312"/>
          <w:sz w:val="32"/>
          <w:szCs w:val="32"/>
          <w:lang w:val="en-US" w:eastAsia="zh-CN"/>
        </w:rPr>
        <w:t>号）相关规定，切实加强资金使用管理，确保资金使用规范有效，及时拨付到位</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topLinePunct/>
        <w:ind w:firstLine="594" w:firstLineChars="200"/>
        <w:rPr>
          <w:rFonts w:hint="eastAsia" w:ascii="仿宋_GB2312" w:hAnsi="仿宋_GB2312" w:eastAsia="仿宋_GB2312" w:cs="仿宋_GB2312"/>
          <w:szCs w:val="32"/>
        </w:rPr>
      </w:pPr>
      <w:r>
        <w:rPr>
          <w:rFonts w:hint="eastAsia" w:ascii="仿宋_GB2312" w:hAnsi="仿宋_GB2312" w:cs="仿宋_GB2312"/>
          <w:color w:val="000000" w:themeColor="text1"/>
          <w:szCs w:val="32"/>
          <w:lang w:val="en-US" w:eastAsia="zh-CN"/>
          <w14:textFill>
            <w14:solidFill>
              <w14:schemeClr w14:val="tx1"/>
            </w14:solidFill>
          </w14:textFill>
        </w:rPr>
        <w:t>项目严格开展前期工作，主要取得立项批复、</w:t>
      </w:r>
      <w:r>
        <w:rPr>
          <w:rFonts w:hint="eastAsia" w:ascii="仿宋_GB2312" w:hAnsi="Times New Roman" w:cs="Times New Roman"/>
          <w:szCs w:val="32"/>
          <w:lang w:val="en-US" w:eastAsia="zh-CN"/>
        </w:rPr>
        <w:t>国土意见、规划意见、道路规划红线、矿产压覆查询意见，开展了地质勘察工作取得地质勘察报告，编制了项目初步设计文件报送行政审批部门审查取得了初步设计批复，截至2023年3月因周边路网未完善，项目绿化、交安、照明设施暂无法全部实施。</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topLinePunct/>
        <w:ind w:firstLine="594" w:firstLineChars="200"/>
        <w:jc w:val="both"/>
        <w:rPr>
          <w:rFonts w:hint="eastAsia" w:ascii="仿宋_GB2312" w:eastAsia="仿宋_GB2312"/>
          <w:szCs w:val="32"/>
          <w:lang w:eastAsia="zh-CN"/>
        </w:rPr>
      </w:pPr>
      <w:r>
        <w:rPr>
          <w:rFonts w:hint="eastAsia" w:ascii="仿宋_GB2312"/>
          <w:szCs w:val="32"/>
        </w:rPr>
        <w:t>项目已按照绩效目标完成全部建设任务</w:t>
      </w:r>
      <w:r>
        <w:rPr>
          <w:rFonts w:hint="eastAsia" w:ascii="仿宋_GB2312"/>
          <w:szCs w:val="32"/>
          <w:lang w:eastAsia="zh-CN"/>
        </w:rPr>
        <w:t>，</w:t>
      </w:r>
      <w:r>
        <w:rPr>
          <w:rFonts w:hint="eastAsia" w:ascii="仿宋_GB2312"/>
          <w:szCs w:val="32"/>
        </w:rPr>
        <w:t>建设任务全部满足质量要求</w:t>
      </w:r>
      <w:r>
        <w:rPr>
          <w:rFonts w:hint="eastAsia" w:ascii="仿宋_GB2312"/>
          <w:szCs w:val="32"/>
          <w:lang w:eastAsia="zh-CN"/>
        </w:rPr>
        <w:t>，</w:t>
      </w:r>
      <w:r>
        <w:rPr>
          <w:rFonts w:hint="eastAsia" w:ascii="仿宋_GB2312"/>
          <w:szCs w:val="32"/>
        </w:rPr>
        <w:t>时限</w:t>
      </w:r>
      <w:r>
        <w:rPr>
          <w:rFonts w:hint="eastAsia" w:ascii="仿宋_GB2312"/>
          <w:szCs w:val="32"/>
          <w:lang w:val="en-US" w:eastAsia="zh-CN"/>
        </w:rPr>
        <w:t>符合</w:t>
      </w:r>
      <w:r>
        <w:rPr>
          <w:rFonts w:hint="eastAsia" w:ascii="仿宋_GB2312"/>
          <w:szCs w:val="32"/>
        </w:rPr>
        <w:t>要求</w:t>
      </w:r>
      <w:r>
        <w:rPr>
          <w:rFonts w:hint="eastAsia" w:ascii="仿宋_GB2312"/>
          <w:szCs w:val="32"/>
          <w:lang w:eastAsia="zh-CN"/>
        </w:rPr>
        <w:t>，</w:t>
      </w:r>
      <w:r>
        <w:rPr>
          <w:rFonts w:hint="eastAsia" w:ascii="仿宋_GB2312"/>
          <w:szCs w:val="32"/>
        </w:rPr>
        <w:t>产出成本为项目预算</w:t>
      </w:r>
      <w:r>
        <w:rPr>
          <w:rFonts w:hint="eastAsia" w:ascii="仿宋_GB2312"/>
          <w:szCs w:val="32"/>
          <w:lang w:val="en-US" w:eastAsia="zh-CN"/>
        </w:rPr>
        <w:t>内</w:t>
      </w:r>
      <w:r>
        <w:rPr>
          <w:rFonts w:hint="eastAsia" w:ascii="仿宋_GB2312"/>
          <w:szCs w:val="32"/>
        </w:rPr>
        <w:t>资金</w:t>
      </w:r>
      <w:r>
        <w:rPr>
          <w:rFonts w:hint="eastAsia" w:ascii="仿宋_GB2312"/>
          <w:szCs w:val="32"/>
          <w:lang w:eastAsia="zh-CN"/>
        </w:rPr>
        <w:t>，</w:t>
      </w:r>
      <w:r>
        <w:rPr>
          <w:rFonts w:hint="eastAsia" w:ascii="仿宋_GB2312"/>
          <w:szCs w:val="32"/>
          <w:lang w:val="en-US" w:eastAsia="zh-CN"/>
        </w:rPr>
        <w:t>该项目的实施</w:t>
      </w:r>
      <w:r>
        <w:rPr>
          <w:rFonts w:hint="eastAsia" w:ascii="仿宋_GB2312"/>
          <w:szCs w:val="32"/>
        </w:rPr>
        <w:t>提升了园区整体形象，为园区招商引资工作提供基础保障，</w:t>
      </w:r>
      <w:r>
        <w:rPr>
          <w:rFonts w:hint="eastAsia" w:ascii="仿宋_GB2312"/>
          <w:szCs w:val="32"/>
          <w:lang w:val="en-US" w:eastAsia="zh-CN"/>
        </w:rPr>
        <w:t>同时</w:t>
      </w:r>
      <w:r>
        <w:rPr>
          <w:rFonts w:hint="eastAsia" w:ascii="仿宋_GB2312"/>
          <w:szCs w:val="32"/>
        </w:rPr>
        <w:t>直接</w:t>
      </w:r>
      <w:r>
        <w:rPr>
          <w:rFonts w:hint="eastAsia" w:ascii="仿宋_GB2312"/>
          <w:szCs w:val="32"/>
          <w:lang w:val="en-US" w:eastAsia="zh-CN"/>
        </w:rPr>
        <w:t>或</w:t>
      </w:r>
      <w:r>
        <w:rPr>
          <w:rFonts w:hint="eastAsia" w:ascii="仿宋_GB2312"/>
          <w:szCs w:val="32"/>
        </w:rPr>
        <w:t>间接带动园区及周边地区经济发展</w:t>
      </w:r>
      <w:r>
        <w:rPr>
          <w:rFonts w:hint="eastAsia" w:ascii="仿宋_GB2312"/>
          <w:szCs w:val="32"/>
          <w:lang w:eastAsia="zh-CN"/>
        </w:rPr>
        <w:t>，</w:t>
      </w:r>
      <w:r>
        <w:rPr>
          <w:rFonts w:hint="eastAsia" w:ascii="仿宋_GB2312"/>
          <w:szCs w:val="32"/>
        </w:rPr>
        <w:t>项目实施符合国家规划和重点支持方向，社会效益巨大</w:t>
      </w:r>
      <w:r>
        <w:rPr>
          <w:rFonts w:hint="eastAsia" w:ascii="仿宋_GB2312"/>
          <w:szCs w:val="32"/>
          <w:lang w:eastAsia="zh-CN"/>
        </w:rPr>
        <w:t>。</w:t>
      </w:r>
      <w:r>
        <w:rPr>
          <w:rFonts w:hint="eastAsia" w:ascii="仿宋_GB2312"/>
          <w:szCs w:val="32"/>
          <w:lang w:val="en-US" w:eastAsia="zh-CN"/>
        </w:rPr>
        <w:t>此外</w:t>
      </w:r>
      <w:r>
        <w:rPr>
          <w:rFonts w:hint="eastAsia" w:ascii="仿宋_GB2312"/>
          <w:szCs w:val="32"/>
        </w:rPr>
        <w:t>项目实施为园区海绵化建设提供了高效样本，切实利用了园区水资源，环境效益显著，为绿美园区建设、良好的投资环境营造创造了条件</w:t>
      </w:r>
      <w:r>
        <w:rPr>
          <w:rFonts w:hint="eastAsia" w:ascii="仿宋_GB2312"/>
          <w:szCs w:val="32"/>
          <w:lang w:eastAsia="zh-CN"/>
        </w:rPr>
        <w:t>。</w:t>
      </w:r>
      <w:r>
        <w:rPr>
          <w:rFonts w:hint="eastAsia" w:ascii="仿宋_GB2312"/>
          <w:szCs w:val="32"/>
        </w:rPr>
        <w:t>项目实施后可在将来一段时间内发挥重要作用，并且所依赖的政策制度为国家重点支持方向，能持续执行</w:t>
      </w:r>
      <w:r>
        <w:rPr>
          <w:rFonts w:hint="eastAsia" w:ascii="仿宋_GB2312"/>
          <w:szCs w:val="32"/>
          <w:lang w:eastAsia="zh-CN"/>
        </w:rPr>
        <w:t>，</w:t>
      </w:r>
      <w:r>
        <w:rPr>
          <w:rFonts w:hint="eastAsia" w:ascii="仿宋_GB2312"/>
          <w:szCs w:val="32"/>
          <w:lang w:val="en-US" w:eastAsia="zh-CN"/>
        </w:rPr>
        <w:t>经征询相关意见，</w:t>
      </w:r>
      <w:r>
        <w:rPr>
          <w:rFonts w:hint="eastAsia" w:ascii="仿宋_GB2312"/>
          <w:szCs w:val="32"/>
        </w:rPr>
        <w:t>园区范围内人员对项目建成的满意度为非常满意</w:t>
      </w:r>
      <w:r>
        <w:rPr>
          <w:rFonts w:hint="eastAsia" w:ascii="仿宋_GB2312"/>
          <w:szCs w:val="32"/>
          <w:lang w:eastAsia="zh-CN"/>
        </w:rPr>
        <w:t>。</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3"/>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3"/>
        <w:gridCol w:w="5"/>
        <w:gridCol w:w="446"/>
        <w:gridCol w:w="1964"/>
        <w:gridCol w:w="2185"/>
        <w:gridCol w:w="2168"/>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9"/>
            <w:tcBorders>
              <w:top w:val="nil"/>
              <w:left w:val="nil"/>
              <w:right w:val="nil"/>
            </w:tcBorders>
            <w:vAlign w:val="center"/>
          </w:tcPr>
          <w:p>
            <w:pPr>
              <w:widowControl/>
              <w:spacing w:beforeLines="50" w:afterLines="50"/>
              <w:jc w:val="center"/>
              <w:rPr>
                <w:rFonts w:ascii="黑体" w:hAnsi="宋体" w:eastAsia="黑体" w:cs="宋体"/>
                <w:color w:val="auto"/>
                <w:kern w:val="0"/>
                <w:sz w:val="36"/>
                <w:szCs w:val="36"/>
              </w:rPr>
            </w:pPr>
            <w:r>
              <w:rPr>
                <w:rFonts w:hint="eastAsia" w:ascii="黑体" w:hAnsi="宋体" w:eastAsia="黑体" w:cs="宋体"/>
                <w:color w:val="auto"/>
                <w:kern w:val="0"/>
                <w:sz w:val="36"/>
                <w:szCs w:val="36"/>
              </w:rPr>
              <w:t>项目支出绩效自评指标评分表</w:t>
            </w:r>
          </w:p>
          <w:p>
            <w:pPr>
              <w:widowControl/>
              <w:spacing w:line="260" w:lineRule="exact"/>
              <w:jc w:val="center"/>
              <w:rPr>
                <w:rFonts w:ascii="仿宋_GB2312" w:hAnsi="宋体" w:cs="宋体"/>
                <w:b/>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一级指标</w:t>
            </w:r>
          </w:p>
        </w:tc>
        <w:tc>
          <w:tcPr>
            <w:tcW w:w="514"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二级指标</w:t>
            </w:r>
          </w:p>
        </w:tc>
        <w:tc>
          <w:tcPr>
            <w:tcW w:w="693" w:type="dxa"/>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三级</w:t>
            </w:r>
          </w:p>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指标</w:t>
            </w:r>
          </w:p>
        </w:tc>
        <w:tc>
          <w:tcPr>
            <w:tcW w:w="451" w:type="dxa"/>
            <w:gridSpan w:val="2"/>
            <w:vAlign w:val="center"/>
          </w:tcPr>
          <w:p>
            <w:pPr>
              <w:widowControl/>
              <w:spacing w:line="260" w:lineRule="exact"/>
              <w:jc w:val="center"/>
              <w:rPr>
                <w:rFonts w:ascii="仿宋_GB2312" w:hAnsi="宋体" w:cs="宋体"/>
                <w:b/>
                <w:color w:val="auto"/>
                <w:kern w:val="0"/>
                <w:sz w:val="21"/>
                <w:szCs w:val="21"/>
              </w:rPr>
            </w:pPr>
            <w:r>
              <w:rPr>
                <w:rFonts w:hint="eastAsia" w:ascii="仿宋_GB2312" w:hAnsi="宋体" w:cs="宋体"/>
                <w:b/>
                <w:color w:val="auto"/>
                <w:kern w:val="0"/>
                <w:sz w:val="21"/>
                <w:szCs w:val="21"/>
              </w:rPr>
              <w:t>自评分</w:t>
            </w:r>
          </w:p>
        </w:tc>
        <w:tc>
          <w:tcPr>
            <w:tcW w:w="1964" w:type="dxa"/>
            <w:vAlign w:val="center"/>
          </w:tcPr>
          <w:p>
            <w:pPr>
              <w:widowControl/>
              <w:spacing w:line="260" w:lineRule="exact"/>
              <w:jc w:val="center"/>
              <w:rPr>
                <w:rFonts w:ascii="仿宋_GB2312" w:hAnsi="宋体" w:cs="宋体"/>
                <w:b/>
                <w:color w:val="auto"/>
                <w:kern w:val="0"/>
                <w:sz w:val="21"/>
                <w:szCs w:val="21"/>
                <w:highlight w:val="none"/>
              </w:rPr>
            </w:pPr>
            <w:r>
              <w:rPr>
                <w:rFonts w:hint="eastAsia" w:ascii="仿宋_GB2312" w:hAnsi="宋体" w:cs="宋体"/>
                <w:b/>
                <w:color w:val="auto"/>
                <w:kern w:val="0"/>
                <w:sz w:val="21"/>
                <w:szCs w:val="21"/>
                <w:highlight w:val="none"/>
              </w:rPr>
              <w:t>具体指标</w:t>
            </w:r>
          </w:p>
        </w:tc>
        <w:tc>
          <w:tcPr>
            <w:tcW w:w="2185" w:type="dxa"/>
            <w:vAlign w:val="center"/>
          </w:tcPr>
          <w:p>
            <w:pPr>
              <w:widowControl/>
              <w:spacing w:line="260" w:lineRule="exact"/>
              <w:jc w:val="center"/>
              <w:rPr>
                <w:rFonts w:hint="eastAsia" w:ascii="仿宋_GB2312" w:hAnsi="宋体" w:eastAsia="仿宋_GB2312" w:cs="宋体"/>
                <w:b/>
                <w:color w:val="auto"/>
                <w:kern w:val="0"/>
                <w:sz w:val="21"/>
                <w:szCs w:val="21"/>
                <w:lang w:val="en-US" w:eastAsia="zh-CN"/>
              </w:rPr>
            </w:pPr>
            <w:r>
              <w:rPr>
                <w:rFonts w:hint="eastAsia" w:ascii="仿宋_GB2312" w:hAnsi="宋体" w:cs="宋体"/>
                <w:b/>
                <w:color w:val="auto"/>
                <w:kern w:val="0"/>
                <w:sz w:val="21"/>
                <w:szCs w:val="21"/>
              </w:rPr>
              <w:t>具体指标</w:t>
            </w:r>
            <w:r>
              <w:rPr>
                <w:rFonts w:hint="eastAsia" w:ascii="仿宋_GB2312" w:hAnsi="宋体" w:cs="宋体"/>
                <w:b/>
                <w:color w:val="auto"/>
                <w:kern w:val="0"/>
                <w:sz w:val="21"/>
                <w:szCs w:val="21"/>
                <w:lang w:val="en-US" w:eastAsia="zh-CN"/>
              </w:rPr>
              <w:t>说明</w:t>
            </w:r>
          </w:p>
        </w:tc>
        <w:tc>
          <w:tcPr>
            <w:tcW w:w="2173" w:type="dxa"/>
            <w:gridSpan w:val="2"/>
            <w:vAlign w:val="center"/>
          </w:tcPr>
          <w:p>
            <w:pPr>
              <w:widowControl/>
              <w:spacing w:line="260" w:lineRule="exact"/>
              <w:jc w:val="center"/>
              <w:rPr>
                <w:rFonts w:hint="eastAsia" w:ascii="仿宋_GB2312" w:hAnsi="宋体" w:cs="宋体"/>
                <w:b/>
                <w:color w:val="auto"/>
                <w:kern w:val="0"/>
                <w:sz w:val="21"/>
                <w:szCs w:val="21"/>
              </w:rPr>
            </w:pPr>
            <w:r>
              <w:rPr>
                <w:rFonts w:hint="eastAsia" w:ascii="仿宋_GB2312" w:hAnsi="宋体" w:cs="宋体"/>
                <w:b/>
                <w:color w:val="auto"/>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r>
              <w:rPr>
                <w:rFonts w:ascii="仿宋_GB2312" w:hAnsi="宋体" w:cs="宋体"/>
                <w:color w:val="auto"/>
                <w:kern w:val="0"/>
                <w:sz w:val="21"/>
                <w:szCs w:val="21"/>
              </w:rPr>
              <w:t>20</w:t>
            </w:r>
            <w:r>
              <w:rPr>
                <w:rFonts w:hint="eastAsia" w:ascii="仿宋_GB2312" w:hAnsi="宋体" w:cs="宋体"/>
                <w:color w:val="auto"/>
                <w:kern w:val="0"/>
                <w:sz w:val="21"/>
                <w:szCs w:val="21"/>
              </w:rPr>
              <w:t>分）</w:t>
            </w: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w:t>
            </w:r>
          </w:p>
          <w:p>
            <w:pPr>
              <w:widowControl/>
              <w:spacing w:line="260" w:lineRule="exact"/>
              <w:jc w:val="center"/>
              <w:rPr>
                <w:rFonts w:ascii="仿宋_GB2312" w:hAnsi="宋体" w:cs="宋体"/>
                <w:color w:val="auto"/>
                <w:kern w:val="0"/>
                <w:sz w:val="21"/>
                <w:szCs w:val="21"/>
              </w:rPr>
            </w:pPr>
            <w:r>
              <w:rPr>
                <w:rFonts w:ascii="仿宋_GB2312" w:hAnsi="宋体" w:cs="宋体"/>
                <w:color w:val="auto"/>
                <w:kern w:val="0"/>
                <w:sz w:val="21"/>
                <w:szCs w:val="21"/>
              </w:rPr>
              <w:t>(4</w:t>
            </w:r>
            <w:r>
              <w:rPr>
                <w:rFonts w:hint="eastAsia" w:ascii="仿宋_GB2312" w:hAnsi="宋体" w:cs="宋体"/>
                <w:color w:val="auto"/>
                <w:kern w:val="0"/>
                <w:sz w:val="21"/>
                <w:szCs w:val="21"/>
              </w:rPr>
              <w:t>分</w:t>
            </w:r>
            <w:r>
              <w:rPr>
                <w:rFonts w:ascii="仿宋_GB2312" w:hAnsi="宋体" w:cs="宋体"/>
                <w:color w:val="auto"/>
                <w:kern w:val="0"/>
                <w:sz w:val="21"/>
                <w:szCs w:val="21"/>
              </w:rPr>
              <w:t>)</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目标内容（</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1.设有明确目标：完成项目海绵化建设；</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2.目标明确细化：产出指标细化了数量指标、质量指标、时效指标，效益指标细化为经济效益指标、可持续影响指标，满意度指标细化为服务对象满意度指标。</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3.目标量化。</w:t>
            </w:r>
          </w:p>
        </w:tc>
        <w:tc>
          <w:tcPr>
            <w:tcW w:w="2185" w:type="dxa"/>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设立了项目绩效目标；目标明确；目标细化；目标量化</w:t>
            </w:r>
          </w:p>
        </w:tc>
        <w:tc>
          <w:tcPr>
            <w:tcW w:w="2173" w:type="dxa"/>
            <w:gridSpan w:val="2"/>
            <w:vAlign w:val="center"/>
          </w:tcPr>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设有目标（</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目标明确（</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目标细化（</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目标量化（</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过程</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决策依据（</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numPr>
                <w:ilvl w:val="0"/>
                <w:numId w:val="5"/>
              </w:numPr>
              <w:spacing w:line="260" w:lineRule="exact"/>
              <w:jc w:val="left"/>
              <w:rPr>
                <w:rFonts w:hint="eastAsia"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项目符合法律法规；</w:t>
            </w:r>
          </w:p>
          <w:p>
            <w:pPr>
              <w:widowControl/>
              <w:numPr>
                <w:ilvl w:val="0"/>
                <w:numId w:val="5"/>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项目属于公益性基础设施项目符合经济社会发展规划、符合园区控制性详细规划；</w:t>
            </w:r>
            <w:r>
              <w:rPr>
                <w:rFonts w:hint="eastAsia" w:ascii="仿宋_GB2312" w:hAnsi="宋体" w:cs="宋体"/>
                <w:color w:val="auto"/>
                <w:kern w:val="0"/>
                <w:sz w:val="21"/>
                <w:szCs w:val="21"/>
                <w:highlight w:val="none"/>
                <w:lang w:val="en-US" w:eastAsia="zh-CN"/>
              </w:rPr>
              <w:br w:type="textWrapping"/>
            </w:r>
            <w:r>
              <w:rPr>
                <w:rFonts w:hint="eastAsia" w:ascii="仿宋_GB2312" w:hAnsi="宋体" w:cs="宋体"/>
                <w:color w:val="auto"/>
                <w:kern w:val="0"/>
                <w:sz w:val="21"/>
                <w:szCs w:val="21"/>
                <w:highlight w:val="none"/>
                <w:lang w:val="en-US" w:eastAsia="zh-CN"/>
              </w:rPr>
              <w:t>3、项目按照呈贡区水务局有关通知实施，符合工作计划安排；</w:t>
            </w:r>
          </w:p>
          <w:p>
            <w:pPr>
              <w:widowControl/>
              <w:numPr>
                <w:ilvl w:val="0"/>
                <w:numId w:val="0"/>
              </w:numPr>
              <w:spacing w:line="260" w:lineRule="exact"/>
              <w:jc w:val="left"/>
              <w:rPr>
                <w:rFonts w:hint="default" w:ascii="仿宋_GB2312" w:hAnsi="宋体"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4、项目针对园区基础设施薄弱，解决园区招商发展基础道路薄弱关键问题。</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有关法律法规的明确规定；某一经济社会发展规划；某部门年度工作计划；某一实际问题和需求</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符合法律法规（</w:t>
            </w:r>
            <w:r>
              <w:rPr>
                <w:rFonts w:ascii="仿宋_GB2312" w:hAnsi="宋体" w:cs="宋体"/>
                <w:color w:val="auto"/>
                <w:kern w:val="0"/>
                <w:sz w:val="21"/>
                <w:szCs w:val="21"/>
              </w:rPr>
              <w:t>1</w:t>
            </w:r>
            <w:r>
              <w:rPr>
                <w:rFonts w:hint="eastAsia" w:ascii="仿宋_GB2312" w:hAnsi="宋体" w:cs="宋体"/>
                <w:color w:val="auto"/>
                <w:kern w:val="0"/>
                <w:sz w:val="21"/>
                <w:szCs w:val="21"/>
              </w:rPr>
              <w:t>分）符合经济社会发展规划（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部门年度工作计划（</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针对某一实际问题和需求（</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决策程序（</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项目符合申报条件；</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申报、批复程序符合相关管理办法；</w:t>
            </w:r>
            <w:r>
              <w:rPr>
                <w:rFonts w:hint="eastAsia" w:ascii="仿宋_GB2312" w:hAnsi="宋体" w:cs="宋体"/>
                <w:color w:val="auto"/>
                <w:kern w:val="0"/>
                <w:sz w:val="21"/>
                <w:szCs w:val="21"/>
              </w:rPr>
              <w:br w:type="textWrapping"/>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项目调整履行了相应手续</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项目符合申报条件；申报、批复程序符合相关管理办法；项目调整履行了相应手续</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符合申报条件（</w:t>
            </w:r>
            <w:r>
              <w:rPr>
                <w:rFonts w:ascii="仿宋_GB2312" w:hAnsi="宋体" w:cs="宋体"/>
                <w:color w:val="auto"/>
                <w:kern w:val="0"/>
                <w:sz w:val="21"/>
                <w:szCs w:val="21"/>
              </w:rPr>
              <w:t>2</w:t>
            </w:r>
            <w:r>
              <w:rPr>
                <w:rFonts w:hint="eastAsia" w:ascii="仿宋_GB2312" w:hAnsi="宋体" w:cs="宋体"/>
                <w:color w:val="auto"/>
                <w:kern w:val="0"/>
                <w:sz w:val="21"/>
                <w:szCs w:val="21"/>
              </w:rPr>
              <w:t>分）项目申报、批复程序符合管理办法（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项目调整履行了相应手续（</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分配办法（</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numPr>
                <w:ilvl w:val="0"/>
                <w:numId w:val="6"/>
              </w:numPr>
              <w:spacing w:line="260" w:lineRule="exact"/>
              <w:jc w:val="left"/>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有相应的资金管理办法</w:t>
            </w:r>
            <w:r>
              <w:rPr>
                <w:rFonts w:hint="eastAsia" w:ascii="仿宋_GB2312" w:hAnsi="宋体" w:cs="宋体"/>
                <w:color w:val="auto"/>
                <w:kern w:val="0"/>
                <w:sz w:val="21"/>
                <w:szCs w:val="21"/>
                <w:lang w:eastAsia="zh-CN"/>
              </w:rPr>
              <w:t>；</w:t>
            </w:r>
          </w:p>
          <w:p>
            <w:pPr>
              <w:widowControl/>
              <w:numPr>
                <w:ilvl w:val="0"/>
                <w:numId w:val="6"/>
              </w:numPr>
              <w:spacing w:line="260" w:lineRule="exact"/>
              <w:jc w:val="left"/>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项目资金管理</w:t>
            </w:r>
            <w:r>
              <w:rPr>
                <w:rFonts w:hint="eastAsia" w:ascii="仿宋_GB2312" w:hAnsi="宋体" w:cs="宋体"/>
                <w:color w:val="auto"/>
                <w:kern w:val="0"/>
                <w:sz w:val="21"/>
                <w:szCs w:val="21"/>
              </w:rPr>
              <w:t>办法健全、规范</w:t>
            </w:r>
            <w:r>
              <w:rPr>
                <w:rFonts w:hint="eastAsia" w:ascii="仿宋_GB2312" w:hAnsi="宋体" w:cs="宋体"/>
                <w:color w:val="auto"/>
                <w:kern w:val="0"/>
                <w:sz w:val="21"/>
                <w:szCs w:val="21"/>
                <w:lang w:eastAsia="zh-CN"/>
              </w:rPr>
              <w:t>；</w:t>
            </w:r>
          </w:p>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3、项目资金分配</w:t>
            </w:r>
            <w:r>
              <w:rPr>
                <w:rFonts w:hint="eastAsia" w:ascii="仿宋_GB2312" w:hAnsi="宋体" w:cs="宋体"/>
                <w:color w:val="auto"/>
                <w:kern w:val="0"/>
                <w:sz w:val="21"/>
                <w:szCs w:val="21"/>
              </w:rPr>
              <w:t>因素全面合理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根据需要制定的相关资金管理办法；管理办法中有明确资金分配办法；资金分配因素全面、合理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有相应的资金管理办法（</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办法健全、规范（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因素全面合理（</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分配结果（</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rPr>
              <w:t>资金分配符合相关管理办法；分配结果</w:t>
            </w:r>
            <w:r>
              <w:rPr>
                <w:rFonts w:hint="eastAsia" w:ascii="仿宋_GB2312" w:hAnsi="宋体" w:cs="宋体"/>
                <w:color w:val="auto"/>
                <w:kern w:val="0"/>
                <w:sz w:val="21"/>
                <w:szCs w:val="21"/>
                <w:lang w:val="en-US" w:eastAsia="zh-CN"/>
              </w:rPr>
              <w:t>按照项目前期相关成果及合同</w:t>
            </w:r>
            <w:r>
              <w:rPr>
                <w:rFonts w:hint="eastAsia" w:ascii="仿宋_GB2312" w:hAnsi="宋体" w:cs="宋体"/>
                <w:color w:val="auto"/>
                <w:kern w:val="0"/>
                <w:sz w:val="21"/>
                <w:szCs w:val="21"/>
              </w:rPr>
              <w:t>公平合理</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资金分配符合相关管理办法；分配结果公平合理</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符合分配办法（</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分配公平合理（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w:t>
            </w:r>
            <w:r>
              <w:rPr>
                <w:rFonts w:hint="eastAsia" w:ascii="仿宋_GB2312" w:hAnsi="宋体" w:cs="宋体"/>
                <w:color w:val="auto"/>
                <w:kern w:val="0"/>
                <w:sz w:val="21"/>
                <w:szCs w:val="21"/>
                <w:lang w:val="en-US" w:eastAsia="zh-CN"/>
              </w:rPr>
              <w:t>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4</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highlight w:val="none"/>
                <w:lang w:val="en-US" w:eastAsia="zh-CN"/>
              </w:rPr>
            </w:pPr>
            <w:r>
              <w:rPr>
                <w:rFonts w:hint="eastAsia" w:ascii="仿宋_GB2312" w:hAnsi="宋体" w:cs="宋体"/>
                <w:color w:val="auto"/>
                <w:kern w:val="0"/>
                <w:sz w:val="21"/>
                <w:szCs w:val="21"/>
                <w:highlight w:val="none"/>
                <w:lang w:val="en-US" w:eastAsia="zh-CN"/>
              </w:rPr>
              <w:t>现阶段项目资金实际到位率100%</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实际到位</w:t>
            </w:r>
            <w:r>
              <w:rPr>
                <w:rFonts w:ascii="仿宋_GB2312" w:hAnsi="宋体" w:cs="宋体"/>
                <w:color w:val="auto"/>
                <w:kern w:val="0"/>
                <w:sz w:val="21"/>
                <w:szCs w:val="21"/>
              </w:rPr>
              <w:t>/</w:t>
            </w:r>
            <w:r>
              <w:rPr>
                <w:rFonts w:hint="eastAsia" w:ascii="仿宋_GB2312" w:hAnsi="宋体" w:cs="宋体"/>
                <w:color w:val="auto"/>
                <w:kern w:val="0"/>
                <w:sz w:val="21"/>
                <w:szCs w:val="21"/>
              </w:rPr>
              <w:t>计划到位</w:t>
            </w:r>
            <w:r>
              <w:rPr>
                <w:rFonts w:ascii="仿宋_GB2312" w:hAnsi="宋体" w:cs="宋体"/>
                <w:color w:val="auto"/>
                <w:kern w:val="0"/>
                <w:sz w:val="21"/>
                <w:szCs w:val="21"/>
              </w:rPr>
              <w:t>*100%</w:t>
            </w:r>
          </w:p>
        </w:tc>
        <w:tc>
          <w:tcPr>
            <w:tcW w:w="2173" w:type="dxa"/>
            <w:gridSpan w:val="2"/>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根据项目资金的实际到位率计算得分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到位时效（</w:t>
            </w:r>
            <w:r>
              <w:rPr>
                <w:rFonts w:ascii="仿宋_GB2312" w:hAnsi="宋体" w:cs="宋体"/>
                <w:color w:val="auto"/>
                <w:kern w:val="0"/>
                <w:sz w:val="21"/>
                <w:szCs w:val="21"/>
              </w:rPr>
              <w:t>2</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1964" w:type="dxa"/>
            <w:vAlign w:val="center"/>
          </w:tcPr>
          <w:p>
            <w:pPr>
              <w:widowControl/>
              <w:spacing w:line="260" w:lineRule="exact"/>
              <w:jc w:val="left"/>
              <w:rPr>
                <w:rFonts w:hint="eastAsia" w:ascii="仿宋_GB2312" w:hAnsi="宋体" w:eastAsia="仿宋_GB2312" w:cs="宋体"/>
                <w:color w:val="auto"/>
                <w:kern w:val="0"/>
                <w:sz w:val="21"/>
                <w:szCs w:val="21"/>
                <w:highlight w:val="none"/>
                <w:lang w:eastAsia="zh-CN"/>
              </w:rPr>
            </w:pPr>
            <w:r>
              <w:rPr>
                <w:rFonts w:hint="eastAsia" w:ascii="仿宋_GB2312" w:hAnsi="宋体" w:cs="宋体"/>
                <w:color w:val="auto"/>
                <w:kern w:val="0"/>
                <w:sz w:val="21"/>
                <w:szCs w:val="21"/>
                <w:lang w:val="en-US" w:eastAsia="zh-CN"/>
              </w:rPr>
              <w:t>项目资金及时</w:t>
            </w:r>
            <w:r>
              <w:rPr>
                <w:rFonts w:hint="eastAsia" w:ascii="仿宋_GB2312" w:hAnsi="宋体" w:cs="宋体"/>
                <w:color w:val="auto"/>
                <w:kern w:val="0"/>
                <w:sz w:val="21"/>
                <w:szCs w:val="21"/>
              </w:rPr>
              <w:t>到位</w:t>
            </w:r>
            <w:r>
              <w:rPr>
                <w:rFonts w:hint="eastAsia" w:ascii="仿宋_GB2312" w:hAnsi="宋体" w:cs="宋体"/>
                <w:color w:val="auto"/>
                <w:kern w:val="0"/>
                <w:sz w:val="21"/>
                <w:szCs w:val="21"/>
                <w:lang w:val="en-US" w:eastAsia="zh-CN"/>
              </w:rPr>
              <w:t>并</w:t>
            </w:r>
            <w:r>
              <w:rPr>
                <w:rFonts w:hint="eastAsia" w:ascii="仿宋_GB2312" w:hAnsi="宋体" w:cs="宋体"/>
                <w:color w:val="auto"/>
                <w:kern w:val="0"/>
                <w:sz w:val="21"/>
                <w:szCs w:val="21"/>
              </w:rPr>
              <w:t>未影响项目进度</w:t>
            </w:r>
            <w:r>
              <w:rPr>
                <w:rFonts w:ascii="仿宋_GB2312" w:hAnsi="宋体" w:cs="宋体"/>
                <w:color w:val="auto"/>
                <w:kern w:val="0"/>
                <w:sz w:val="21"/>
                <w:szCs w:val="21"/>
              </w:rPr>
              <w:t xml:space="preserve"> </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资金及时到位；若未及时到位，是否影响项目进度</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到位及时（</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不及时但未影响项目进度</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不及时并影响项目进度（</w:t>
            </w:r>
            <w:r>
              <w:rPr>
                <w:rFonts w:ascii="仿宋_GB2312" w:hAnsi="宋体" w:cs="宋体"/>
                <w:color w:val="auto"/>
                <w:kern w:val="0"/>
                <w:sz w:val="21"/>
                <w:szCs w:val="21"/>
              </w:rPr>
              <w:t>0.5</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资金使用（</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1964" w:type="dxa"/>
            <w:vAlign w:val="center"/>
          </w:tcPr>
          <w:p>
            <w:pPr>
              <w:widowControl/>
              <w:spacing w:line="260" w:lineRule="exact"/>
              <w:jc w:val="left"/>
              <w:rPr>
                <w:rFonts w:ascii="仿宋_GB2312" w:hAnsi="宋体" w:cs="宋体"/>
                <w:color w:val="auto"/>
                <w:kern w:val="0"/>
                <w:sz w:val="21"/>
                <w:szCs w:val="21"/>
                <w:highlight w:val="none"/>
              </w:rPr>
            </w:pPr>
            <w:r>
              <w:rPr>
                <w:rFonts w:hint="eastAsia" w:ascii="仿宋_GB2312" w:hAnsi="宋体" w:cs="宋体"/>
                <w:color w:val="auto"/>
                <w:kern w:val="0"/>
                <w:sz w:val="21"/>
                <w:szCs w:val="21"/>
                <w:lang w:val="en-US" w:eastAsia="zh-CN"/>
              </w:rPr>
              <w:t>目前项目根据进度相应拨付款项，</w:t>
            </w:r>
            <w:r>
              <w:rPr>
                <w:rFonts w:hint="eastAsia" w:ascii="仿宋_GB2312" w:hAnsi="宋体" w:cs="宋体"/>
                <w:color w:val="auto"/>
                <w:kern w:val="0"/>
                <w:sz w:val="21"/>
                <w:szCs w:val="21"/>
              </w:rPr>
              <w:t>无虚列项目支出</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rPr>
              <w:t>截留挤占挪用</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rPr>
              <w:t>超标准开支</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rPr>
              <w:t>超预算</w:t>
            </w:r>
            <w:r>
              <w:rPr>
                <w:rFonts w:hint="eastAsia" w:ascii="仿宋_GB2312" w:hAnsi="宋体" w:cs="宋体"/>
                <w:color w:val="auto"/>
                <w:kern w:val="0"/>
                <w:sz w:val="21"/>
                <w:szCs w:val="21"/>
                <w:lang w:val="en-US" w:eastAsia="zh-CN"/>
              </w:rPr>
              <w:t>等</w:t>
            </w:r>
            <w:r>
              <w:rPr>
                <w:rFonts w:hint="eastAsia" w:ascii="仿宋_GB2312" w:hAnsi="宋体" w:cs="宋体"/>
                <w:color w:val="auto"/>
                <w:kern w:val="0"/>
                <w:sz w:val="21"/>
                <w:szCs w:val="21"/>
              </w:rPr>
              <w:t>情况</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支出依据合规，无虚列项目支出情况；无截留挤占挪用情况；无超标准开支情况；无超预算情况</w:t>
            </w:r>
          </w:p>
        </w:tc>
        <w:tc>
          <w:tcPr>
            <w:tcW w:w="2173" w:type="dxa"/>
            <w:gridSpan w:val="2"/>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虚列套取扣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依据不合规扣</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截留、挤占、挪用</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扣</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分</w:t>
            </w:r>
          </w:p>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超标准开支扣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超预算扣</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分</w:t>
            </w:r>
          </w:p>
        </w:tc>
        <w:tc>
          <w:tcPr>
            <w:tcW w:w="1" w:type="dxa"/>
            <w:vAlign w:val="center"/>
          </w:tcPr>
          <w:p>
            <w:pPr>
              <w:widowControl/>
              <w:spacing w:line="26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财务管理（</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资金管理、费用支出等制度健全；制度执行严格；会计核算规范</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财务制度健全（</w:t>
            </w:r>
            <w:r>
              <w:rPr>
                <w:rFonts w:ascii="仿宋_GB2312" w:hAnsi="宋体" w:cs="宋体"/>
                <w:color w:val="auto"/>
                <w:kern w:val="0"/>
                <w:sz w:val="21"/>
                <w:szCs w:val="21"/>
              </w:rPr>
              <w:t>1</w:t>
            </w:r>
            <w:r>
              <w:rPr>
                <w:rFonts w:hint="eastAsia" w:ascii="仿宋_GB2312" w:hAnsi="宋体" w:cs="宋体"/>
                <w:color w:val="auto"/>
                <w:kern w:val="0"/>
                <w:sz w:val="21"/>
                <w:szCs w:val="21"/>
              </w:rPr>
              <w:t>分）严格执行制度（</w:t>
            </w:r>
            <w:r>
              <w:rPr>
                <w:rFonts w:ascii="仿宋_GB2312" w:hAnsi="宋体" w:cs="宋体"/>
                <w:color w:val="auto"/>
                <w:kern w:val="0"/>
                <w:sz w:val="21"/>
                <w:szCs w:val="21"/>
              </w:rPr>
              <w:t>1</w:t>
            </w:r>
            <w:r>
              <w:rPr>
                <w:rFonts w:hint="eastAsia" w:ascii="仿宋_GB2312" w:hAnsi="宋体" w:cs="宋体"/>
                <w:color w:val="auto"/>
                <w:kern w:val="0"/>
                <w:sz w:val="21"/>
                <w:szCs w:val="21"/>
              </w:rPr>
              <w:t>分）会计核算规范（</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组织机构（</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项目建设</w:t>
            </w:r>
            <w:r>
              <w:rPr>
                <w:rFonts w:hint="eastAsia" w:ascii="仿宋_GB2312" w:hAnsi="宋体" w:cs="宋体"/>
                <w:color w:val="auto"/>
                <w:kern w:val="0"/>
                <w:sz w:val="21"/>
                <w:szCs w:val="21"/>
              </w:rPr>
              <w:t>机构健全、分工明确</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机构健全、分工明确</w:t>
            </w:r>
          </w:p>
        </w:tc>
        <w:tc>
          <w:tcPr>
            <w:tcW w:w="2174" w:type="dxa"/>
            <w:gridSpan w:val="3"/>
            <w:vAlign w:val="center"/>
          </w:tcPr>
          <w:p>
            <w:pPr>
              <w:widowControl/>
              <w:spacing w:line="260" w:lineRule="exact"/>
              <w:ind w:left="187" w:leftChars="0" w:hanging="187" w:hangingChars="100"/>
              <w:jc w:val="left"/>
              <w:rPr>
                <w:rFonts w:hint="eastAsia" w:ascii="仿宋_GB2312" w:hAnsi="宋体" w:cs="宋体"/>
                <w:color w:val="auto"/>
                <w:kern w:val="0"/>
                <w:sz w:val="21"/>
                <w:szCs w:val="21"/>
              </w:rPr>
            </w:pPr>
            <w:r>
              <w:rPr>
                <w:rFonts w:hint="eastAsia" w:ascii="仿宋_GB2312" w:hAnsi="宋体" w:cs="宋体"/>
                <w:color w:val="auto"/>
                <w:kern w:val="0"/>
                <w:sz w:val="21"/>
                <w:szCs w:val="21"/>
              </w:rPr>
              <w:t>机构健全、分工明确</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w:t>
            </w:r>
            <w:r>
              <w:rPr>
                <w:rFonts w:ascii="仿宋_GB2312" w:hAnsi="宋体" w:cs="宋体"/>
                <w:color w:val="auto"/>
                <w:kern w:val="0"/>
                <w:sz w:val="21"/>
                <w:szCs w:val="21"/>
              </w:rPr>
              <w:t xml:space="preserve"> (25</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组织</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实施</w:t>
            </w:r>
            <w:r>
              <w:rPr>
                <w:rFonts w:ascii="仿宋_GB2312" w:hAnsi="宋体" w:cs="宋体"/>
                <w:color w:val="auto"/>
                <w:kern w:val="0"/>
                <w:sz w:val="21"/>
                <w:szCs w:val="21"/>
              </w:rPr>
              <w:t>(10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项目实施（</w:t>
            </w:r>
            <w:r>
              <w:rPr>
                <w:rFonts w:ascii="仿宋_GB2312" w:hAnsi="宋体" w:cs="宋体"/>
                <w:color w:val="auto"/>
                <w:kern w:val="0"/>
                <w:sz w:val="21"/>
                <w:szCs w:val="21"/>
              </w:rPr>
              <w:t>3</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项目按照计划进度完成了全部建设任务</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项目按计划开工；按计划进度开展；按计划完工</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按计划开工（</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按计划开展（</w:t>
            </w:r>
            <w:r>
              <w:rPr>
                <w:rFonts w:ascii="仿宋_GB2312" w:hAnsi="宋体" w:cs="宋体"/>
                <w:color w:val="auto"/>
                <w:kern w:val="0"/>
                <w:sz w:val="21"/>
                <w:szCs w:val="21"/>
              </w:rPr>
              <w:t>1</w:t>
            </w:r>
            <w:r>
              <w:rPr>
                <w:rFonts w:hint="eastAsia" w:ascii="仿宋_GB2312" w:hAnsi="宋体" w:cs="宋体"/>
                <w:color w:val="auto"/>
                <w:kern w:val="0"/>
                <w:sz w:val="21"/>
                <w:szCs w:val="21"/>
              </w:rPr>
              <w:t>分）</w:t>
            </w:r>
            <w:r>
              <w:rPr>
                <w:rFonts w:ascii="仿宋_GB2312" w:hAnsi="宋体" w:cs="宋体"/>
                <w:color w:val="auto"/>
                <w:kern w:val="0"/>
                <w:sz w:val="21"/>
                <w:szCs w:val="21"/>
              </w:rPr>
              <w:t xml:space="preserve">   </w:t>
            </w:r>
            <w:r>
              <w:rPr>
                <w:rFonts w:hint="eastAsia" w:ascii="仿宋_GB2312" w:hAnsi="宋体" w:cs="宋体"/>
                <w:color w:val="auto"/>
                <w:kern w:val="0"/>
                <w:sz w:val="21"/>
                <w:szCs w:val="21"/>
              </w:rPr>
              <w:t>按计划完工（</w:t>
            </w:r>
            <w:r>
              <w:rPr>
                <w:rFonts w:ascii="仿宋_GB2312" w:hAnsi="宋体" w:cs="宋体"/>
                <w:color w:val="auto"/>
                <w:kern w:val="0"/>
                <w:sz w:val="21"/>
                <w:szCs w:val="21"/>
              </w:rPr>
              <w:t>1</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管理制度（</w:t>
            </w:r>
            <w:r>
              <w:rPr>
                <w:rFonts w:ascii="仿宋_GB2312" w:hAnsi="宋体" w:cs="宋体"/>
                <w:color w:val="auto"/>
                <w:kern w:val="0"/>
                <w:sz w:val="21"/>
                <w:szCs w:val="21"/>
              </w:rPr>
              <w:t>6</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项目管理制度健全；严格执行相关管理制度</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管理制度健全（</w:t>
            </w:r>
            <w:r>
              <w:rPr>
                <w:rFonts w:ascii="仿宋_GB2312" w:hAnsi="宋体" w:cs="宋体"/>
                <w:color w:val="auto"/>
                <w:kern w:val="0"/>
                <w:sz w:val="21"/>
                <w:szCs w:val="21"/>
              </w:rPr>
              <w:t>2</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制度执行严格（</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绩效</w:t>
            </w:r>
            <w:r>
              <w:rPr>
                <w:rFonts w:hint="eastAsia" w:ascii="仿宋_GB2312" w:hAnsi="宋体" w:cs="宋体"/>
                <w:color w:val="auto"/>
                <w:kern w:val="0"/>
                <w:sz w:val="21"/>
                <w:szCs w:val="21"/>
                <w:lang w:val="en-US" w:eastAsia="zh-CN"/>
              </w:rPr>
              <w:t xml:space="preserve"> </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60</w:t>
            </w:r>
            <w:r>
              <w:rPr>
                <w:rFonts w:hint="eastAsia" w:ascii="仿宋_GB2312" w:hAnsi="宋体" w:cs="宋体"/>
                <w:color w:val="auto"/>
                <w:kern w:val="0"/>
                <w:sz w:val="21"/>
                <w:szCs w:val="21"/>
              </w:rPr>
              <w:t>分）</w:t>
            </w:r>
          </w:p>
        </w:tc>
        <w:tc>
          <w:tcPr>
            <w:tcW w:w="514" w:type="dxa"/>
            <w:vMerge w:val="restart"/>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w:t>
            </w:r>
            <w:r>
              <w:rPr>
                <w:rFonts w:ascii="仿宋_GB2312" w:hAnsi="宋体" w:cs="宋体"/>
                <w:color w:val="auto"/>
                <w:kern w:val="0"/>
                <w:sz w:val="21"/>
                <w:szCs w:val="21"/>
              </w:rPr>
              <w:t>(</w:t>
            </w:r>
            <w:r>
              <w:rPr>
                <w:rFonts w:hint="eastAsia" w:ascii="仿宋_GB2312" w:hAnsi="宋体" w:cs="宋体"/>
                <w:color w:val="auto"/>
                <w:kern w:val="0"/>
                <w:sz w:val="21"/>
                <w:szCs w:val="21"/>
                <w:lang w:val="en-US" w:eastAsia="zh-CN"/>
              </w:rPr>
              <w:t>20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产出数量（</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已按照绩效目标完成项目全部建设任务</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根据该项目实际，标识具体明确的产出数量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对照绩效目标，按实际产出数量率计算得分（</w:t>
            </w:r>
            <w:r>
              <w:rPr>
                <w:rFonts w:ascii="仿宋_GB2312" w:hAnsi="宋体" w:cs="宋体"/>
                <w:color w:val="auto"/>
                <w:kern w:val="0"/>
                <w:sz w:val="21"/>
                <w:szCs w:val="21"/>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产出质量（</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rPr>
              <w:t>项目完成</w:t>
            </w:r>
            <w:r>
              <w:rPr>
                <w:rFonts w:hint="eastAsia" w:ascii="仿宋_GB2312" w:hAnsi="宋体" w:cs="宋体"/>
                <w:color w:val="auto"/>
                <w:kern w:val="0"/>
                <w:sz w:val="21"/>
                <w:szCs w:val="21"/>
                <w:lang w:val="en-US" w:eastAsia="zh-CN"/>
              </w:rPr>
              <w:t>的建设任务全部满足质量要求</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根据该项目实际，标识具体明确的产出质量</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对照绩效目标，按实际产出质量率计算得分（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产出时效（</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4</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项目已按时限要求完成全部建设任务</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根据该项目实际，标识具体明确的产出时效</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对照绩效目标，按实际产出时效率计算得分（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产出成本（</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1964"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rPr>
              <w:t>根据该项目实际，明确的产出成本</w:t>
            </w:r>
            <w:r>
              <w:rPr>
                <w:rFonts w:hint="eastAsia" w:ascii="仿宋_GB2312" w:hAnsi="宋体" w:cs="宋体"/>
                <w:color w:val="auto"/>
                <w:kern w:val="0"/>
                <w:sz w:val="21"/>
                <w:szCs w:val="21"/>
                <w:lang w:val="en-US" w:eastAsia="zh-CN"/>
              </w:rPr>
              <w:t>为项目预算资金</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根据该项目实际，标识具体明确的产出成本</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对照绩效目标，按实际产出成本率计算得分（</w:t>
            </w:r>
            <w:r>
              <w:rPr>
                <w:rFonts w:hint="eastAsia" w:ascii="仿宋_GB2312" w:hAnsi="宋体" w:cs="宋体"/>
                <w:color w:val="auto"/>
                <w:kern w:val="0"/>
                <w:sz w:val="21"/>
                <w:szCs w:val="21"/>
                <w:lang w:val="en-US" w:eastAsia="zh-CN"/>
              </w:rPr>
              <w:t>5</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restart"/>
            <w:vAlign w:val="center"/>
          </w:tcPr>
          <w:p>
            <w:pPr>
              <w:widowControl/>
              <w:spacing w:line="260" w:lineRule="exact"/>
              <w:rPr>
                <w:rFonts w:ascii="仿宋_GB2312" w:hAnsi="宋体" w:cs="宋体"/>
                <w:color w:val="auto"/>
                <w:kern w:val="0"/>
                <w:sz w:val="21"/>
                <w:szCs w:val="21"/>
              </w:rPr>
            </w:pP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项目</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效果</w:t>
            </w:r>
            <w:r>
              <w:rPr>
                <w:rFonts w:ascii="仿宋_GB2312" w:hAnsi="宋体" w:cs="宋体"/>
                <w:color w:val="auto"/>
                <w:kern w:val="0"/>
                <w:sz w:val="21"/>
                <w:szCs w:val="21"/>
              </w:rPr>
              <w:t>(40</w:t>
            </w:r>
            <w:r>
              <w:rPr>
                <w:rFonts w:hint="eastAsia" w:ascii="仿宋_GB2312" w:hAnsi="宋体" w:cs="宋体"/>
                <w:color w:val="auto"/>
                <w:kern w:val="0"/>
                <w:sz w:val="21"/>
                <w:szCs w:val="21"/>
              </w:rPr>
              <w:t>分）</w:t>
            </w: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经济效益（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6</w:t>
            </w:r>
          </w:p>
        </w:tc>
        <w:tc>
          <w:tcPr>
            <w:tcW w:w="1964" w:type="dxa"/>
            <w:vAlign w:val="center"/>
          </w:tcPr>
          <w:p>
            <w:pPr>
              <w:widowControl/>
              <w:spacing w:line="260" w:lineRule="exact"/>
              <w:jc w:val="left"/>
              <w:rPr>
                <w:rFonts w:hint="default" w:ascii="仿宋_GB2312" w:hAnsi="宋体" w:cs="宋体"/>
                <w:color w:val="auto"/>
                <w:kern w:val="0"/>
                <w:sz w:val="21"/>
                <w:szCs w:val="21"/>
                <w:lang w:val="en-US"/>
              </w:rPr>
            </w:pPr>
            <w:r>
              <w:rPr>
                <w:rFonts w:hint="eastAsia" w:ascii="仿宋_GB2312" w:hAnsi="宋体" w:cs="宋体"/>
                <w:color w:val="auto"/>
                <w:kern w:val="0"/>
                <w:sz w:val="21"/>
                <w:szCs w:val="21"/>
                <w:lang w:val="en-US" w:eastAsia="zh-CN"/>
              </w:rPr>
              <w:t>通过项目的实施提升了园区整体形象，为园区招商引资工作提供基础保障，直接间接带动园区及周边地区经济发展</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根据项目实际，标识所产生的直接或间接的经济效益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对照绩效目标，按经济效益实现程度计算得分（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社会效益（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7</w:t>
            </w:r>
          </w:p>
        </w:tc>
        <w:tc>
          <w:tcPr>
            <w:tcW w:w="1964"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项目实施符合国家规划和重点支持方向，促进园区综合发展，</w:t>
            </w:r>
            <w:r>
              <w:rPr>
                <w:rFonts w:hint="eastAsia" w:ascii="仿宋_GB2312" w:hAnsi="宋体" w:cs="宋体"/>
                <w:color w:val="auto"/>
                <w:kern w:val="0"/>
                <w:sz w:val="21"/>
                <w:szCs w:val="21"/>
              </w:rPr>
              <w:t>为园区提供</w:t>
            </w:r>
            <w:r>
              <w:rPr>
                <w:rFonts w:hint="eastAsia" w:ascii="仿宋_GB2312" w:hAnsi="宋体" w:cs="宋体"/>
                <w:color w:val="auto"/>
                <w:kern w:val="0"/>
                <w:sz w:val="21"/>
                <w:szCs w:val="21"/>
                <w:lang w:val="en-US" w:eastAsia="zh-CN"/>
              </w:rPr>
              <w:t>重要</w:t>
            </w:r>
            <w:r>
              <w:rPr>
                <w:rFonts w:hint="eastAsia" w:ascii="仿宋_GB2312" w:hAnsi="宋体" w:cs="宋体"/>
                <w:color w:val="auto"/>
                <w:kern w:val="0"/>
                <w:sz w:val="21"/>
                <w:szCs w:val="21"/>
              </w:rPr>
              <w:t>基础保障</w:t>
            </w:r>
            <w:r>
              <w:rPr>
                <w:rFonts w:hint="eastAsia" w:ascii="仿宋_GB2312" w:hAnsi="宋体" w:cs="宋体"/>
                <w:color w:val="auto"/>
                <w:kern w:val="0"/>
                <w:sz w:val="21"/>
                <w:szCs w:val="21"/>
                <w:lang w:eastAsia="zh-CN"/>
              </w:rPr>
              <w:t>，</w:t>
            </w:r>
            <w:r>
              <w:rPr>
                <w:rFonts w:hint="eastAsia" w:ascii="仿宋_GB2312" w:hAnsi="宋体" w:cs="宋体"/>
                <w:color w:val="auto"/>
                <w:kern w:val="0"/>
                <w:sz w:val="21"/>
                <w:szCs w:val="21"/>
                <w:lang w:val="en-US" w:eastAsia="zh-CN"/>
              </w:rPr>
              <w:t>社会效益巨大</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根据项目实际，标识所产生的社会效益</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对照绩效目标，按社会效益实现程度计算得分（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环境效益（</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8</w:t>
            </w:r>
          </w:p>
        </w:tc>
        <w:tc>
          <w:tcPr>
            <w:tcW w:w="1964" w:type="dxa"/>
            <w:vAlign w:val="center"/>
          </w:tcPr>
          <w:p>
            <w:pPr>
              <w:widowControl/>
              <w:spacing w:line="260" w:lineRule="exact"/>
              <w:jc w:val="left"/>
              <w:rPr>
                <w:rFonts w:hint="default" w:ascii="仿宋_GB2312" w:hAnsi="宋体" w:cs="宋体"/>
                <w:color w:val="auto"/>
                <w:kern w:val="0"/>
                <w:sz w:val="21"/>
                <w:szCs w:val="21"/>
                <w:lang w:val="en-US"/>
              </w:rPr>
            </w:pPr>
            <w:r>
              <w:rPr>
                <w:rFonts w:hint="eastAsia" w:ascii="仿宋_GB2312" w:hAnsi="宋体" w:cs="宋体"/>
                <w:color w:val="auto"/>
                <w:kern w:val="0"/>
                <w:sz w:val="21"/>
                <w:szCs w:val="21"/>
                <w:lang w:val="en-US" w:eastAsia="zh-CN"/>
              </w:rPr>
              <w:t>项目实施为园区海绵化建设提供了高效样本，切实利用了园区水资源，环境效益显著，为绿美园区建设、良好的投资环境营造创造了条件</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根据项目实际，标识对环境所产生的积极或消极影响</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对照绩效目标，按对环境所产生的实际影响程度计算得分（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可持续影响（</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8</w:t>
            </w:r>
          </w:p>
        </w:tc>
        <w:tc>
          <w:tcPr>
            <w:tcW w:w="1964"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lang w:val="en-US" w:eastAsia="zh-CN"/>
              </w:rPr>
              <w:t>项目实施后可在将来一段时间内发挥重要作用，并且所依赖的政策制度为国家重点支持方向，能持续执行</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项目产出能持续运用；项目运行所依赖的政策制度能持续执行</w:t>
            </w:r>
          </w:p>
        </w:tc>
        <w:tc>
          <w:tcPr>
            <w:tcW w:w="2174" w:type="dxa"/>
            <w:gridSpan w:val="3"/>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项目产出能持续运用（</w:t>
            </w:r>
            <w:r>
              <w:rPr>
                <w:rFonts w:ascii="仿宋_GB2312" w:hAnsi="宋体" w:cs="宋体"/>
                <w:color w:val="auto"/>
                <w:kern w:val="0"/>
                <w:sz w:val="21"/>
                <w:szCs w:val="21"/>
              </w:rPr>
              <w:t>4</w:t>
            </w:r>
            <w:r>
              <w:rPr>
                <w:rFonts w:hint="eastAsia" w:ascii="仿宋_GB2312" w:hAnsi="宋体" w:cs="宋体"/>
                <w:color w:val="auto"/>
                <w:kern w:val="0"/>
                <w:sz w:val="21"/>
                <w:szCs w:val="21"/>
              </w:rPr>
              <w:t>分）</w:t>
            </w:r>
          </w:p>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所依赖的政策制度能持续执行（</w:t>
            </w:r>
            <w:r>
              <w:rPr>
                <w:rFonts w:ascii="仿宋_GB2312" w:hAnsi="宋体" w:cs="宋体"/>
                <w:color w:val="auto"/>
                <w:kern w:val="0"/>
                <w:sz w:val="21"/>
                <w:szCs w:val="21"/>
              </w:rPr>
              <w:t>4</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color w:val="auto"/>
                <w:kern w:val="0"/>
                <w:sz w:val="21"/>
                <w:szCs w:val="21"/>
              </w:rPr>
            </w:pPr>
          </w:p>
        </w:tc>
        <w:tc>
          <w:tcPr>
            <w:tcW w:w="514" w:type="dxa"/>
            <w:vMerge w:val="continue"/>
            <w:vAlign w:val="center"/>
          </w:tcPr>
          <w:p>
            <w:pPr>
              <w:widowControl/>
              <w:spacing w:line="260" w:lineRule="exact"/>
              <w:jc w:val="left"/>
              <w:rPr>
                <w:rFonts w:ascii="仿宋_GB2312" w:hAnsi="宋体" w:cs="宋体"/>
                <w:color w:val="auto"/>
                <w:kern w:val="0"/>
                <w:sz w:val="21"/>
                <w:szCs w:val="21"/>
              </w:rPr>
            </w:pPr>
          </w:p>
        </w:tc>
        <w:tc>
          <w:tcPr>
            <w:tcW w:w="693"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服务对象满意度</w:t>
            </w:r>
          </w:p>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c>
          <w:tcPr>
            <w:tcW w:w="451" w:type="dxa"/>
            <w:gridSpan w:val="2"/>
            <w:vAlign w:val="center"/>
          </w:tcPr>
          <w:p>
            <w:pPr>
              <w:widowControl/>
              <w:spacing w:line="26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8</w:t>
            </w:r>
          </w:p>
        </w:tc>
        <w:tc>
          <w:tcPr>
            <w:tcW w:w="1964" w:type="dxa"/>
            <w:vAlign w:val="center"/>
          </w:tcPr>
          <w:p>
            <w:pPr>
              <w:widowControl/>
              <w:spacing w:line="260" w:lineRule="exact"/>
              <w:jc w:val="left"/>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rPr>
              <w:t>园区</w:t>
            </w:r>
            <w:r>
              <w:rPr>
                <w:rFonts w:hint="eastAsia" w:ascii="仿宋_GB2312" w:hAnsi="宋体" w:cs="宋体"/>
                <w:color w:val="auto"/>
                <w:kern w:val="0"/>
                <w:sz w:val="21"/>
                <w:szCs w:val="21"/>
                <w:lang w:val="en-US" w:eastAsia="zh-CN"/>
              </w:rPr>
              <w:t>范围内</w:t>
            </w:r>
            <w:r>
              <w:rPr>
                <w:rFonts w:hint="eastAsia" w:ascii="仿宋_GB2312" w:hAnsi="宋体" w:cs="宋体"/>
                <w:color w:val="auto"/>
                <w:kern w:val="0"/>
                <w:sz w:val="21"/>
                <w:szCs w:val="21"/>
              </w:rPr>
              <w:t>人员对项目建成的满意度</w:t>
            </w:r>
            <w:r>
              <w:rPr>
                <w:rFonts w:hint="eastAsia" w:ascii="仿宋_GB2312" w:hAnsi="宋体" w:cs="宋体"/>
                <w:color w:val="auto"/>
                <w:kern w:val="0"/>
                <w:sz w:val="21"/>
                <w:szCs w:val="21"/>
                <w:lang w:val="en-US" w:eastAsia="zh-CN"/>
              </w:rPr>
              <w:t>为非常满意</w:t>
            </w:r>
          </w:p>
        </w:tc>
        <w:tc>
          <w:tcPr>
            <w:tcW w:w="2185" w:type="dxa"/>
            <w:vAlign w:val="center"/>
          </w:tcPr>
          <w:p>
            <w:pPr>
              <w:widowControl/>
              <w:spacing w:line="2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项目预期服务对象对项目实施的满意程度</w:t>
            </w:r>
          </w:p>
        </w:tc>
        <w:tc>
          <w:tcPr>
            <w:tcW w:w="2174" w:type="dxa"/>
            <w:gridSpan w:val="3"/>
            <w:vAlign w:val="center"/>
          </w:tcPr>
          <w:p>
            <w:pPr>
              <w:widowControl/>
              <w:spacing w:line="260" w:lineRule="exact"/>
              <w:jc w:val="left"/>
              <w:rPr>
                <w:rFonts w:hint="eastAsia" w:ascii="仿宋_GB2312" w:hAnsi="宋体" w:cs="宋体"/>
                <w:color w:val="auto"/>
                <w:kern w:val="0"/>
                <w:sz w:val="21"/>
                <w:szCs w:val="21"/>
              </w:rPr>
            </w:pPr>
            <w:r>
              <w:rPr>
                <w:rFonts w:hint="eastAsia" w:ascii="仿宋_GB2312" w:hAnsi="宋体" w:cs="宋体"/>
                <w:color w:val="auto"/>
                <w:kern w:val="0"/>
                <w:sz w:val="21"/>
                <w:szCs w:val="21"/>
              </w:rPr>
              <w:t>按收集到的项目服务对象的满意率计算得分（</w:t>
            </w:r>
            <w:r>
              <w:rPr>
                <w:rFonts w:ascii="仿宋_GB2312" w:hAnsi="宋体" w:cs="宋体"/>
                <w:color w:val="auto"/>
                <w:kern w:val="0"/>
                <w:sz w:val="21"/>
                <w:szCs w:val="21"/>
              </w:rPr>
              <w:t>8</w:t>
            </w:r>
            <w:r>
              <w:rPr>
                <w:rFonts w:hint="eastAsia" w:ascii="仿宋_GB2312"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5"/>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总分</w:t>
            </w:r>
          </w:p>
        </w:tc>
        <w:tc>
          <w:tcPr>
            <w:tcW w:w="446" w:type="dxa"/>
            <w:vAlign w:val="center"/>
          </w:tcPr>
          <w:p>
            <w:pPr>
              <w:widowControl/>
              <w:spacing w:line="260" w:lineRule="exact"/>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92</w:t>
            </w:r>
          </w:p>
        </w:tc>
        <w:tc>
          <w:tcPr>
            <w:tcW w:w="1964"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85" w:type="dxa"/>
            <w:vAlign w:val="center"/>
          </w:tcPr>
          <w:p>
            <w:pPr>
              <w:widowControl/>
              <w:spacing w:line="2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　</w:t>
            </w:r>
          </w:p>
        </w:tc>
        <w:tc>
          <w:tcPr>
            <w:tcW w:w="2168" w:type="dxa"/>
            <w:vAlign w:val="center"/>
          </w:tcPr>
          <w:p>
            <w:pPr>
              <w:widowControl/>
              <w:spacing w:line="260" w:lineRule="exact"/>
              <w:jc w:val="center"/>
              <w:rPr>
                <w:rFonts w:hint="eastAsia" w:ascii="仿宋_GB2312" w:hAnsi="宋体" w:cs="宋体"/>
                <w:color w:val="auto"/>
                <w:kern w:val="0"/>
                <w:sz w:val="21"/>
                <w:szCs w:val="21"/>
              </w:rPr>
            </w:pPr>
          </w:p>
        </w:tc>
      </w:tr>
    </w:tbl>
    <w:p>
      <w:pPr>
        <w:spacing w:line="600" w:lineRule="exact"/>
        <w:rPr>
          <w:rFonts w:hint="eastAsia" w:ascii="黑体" w:eastAsia="黑体"/>
          <w:szCs w:val="32"/>
        </w:rPr>
      </w:pPr>
    </w:p>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numPr>
          <w:ilvl w:val="0"/>
          <w:numId w:val="0"/>
        </w:numPr>
        <w:ind w:leftChars="200"/>
        <w:rPr>
          <w:rFonts w:hint="default" w:ascii="仿宋_GB2312"/>
          <w:b w:val="0"/>
          <w:bCs/>
          <w:szCs w:val="32"/>
          <w:lang w:val="en-US" w:eastAsia="zh-CN"/>
        </w:rPr>
      </w:pPr>
      <w:r>
        <w:rPr>
          <w:rFonts w:hint="eastAsia" w:ascii="仿宋_GB2312"/>
          <w:b w:val="0"/>
          <w:bCs/>
          <w:szCs w:val="32"/>
          <w:lang w:val="en-US" w:eastAsia="zh-CN"/>
        </w:rPr>
        <w:t>无</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rPr>
      </w:pPr>
    </w:p>
    <w:p>
      <w:pPr>
        <w:pageBreakBefore w:val="0"/>
        <w:widowControl w:val="0"/>
        <w:kinsoku/>
        <w:wordWrap/>
        <w:overflowPunct/>
        <w:autoSpaceDE/>
        <w:autoSpaceDN/>
        <w:bidi w:val="0"/>
        <w:adjustRightInd/>
        <w:snapToGrid/>
        <w:spacing w:line="56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昆明呈贡信息产业园区管理委员会</w:t>
      </w:r>
    </w:p>
    <w:p>
      <w:pPr>
        <w:pageBreakBefore w:val="0"/>
        <w:widowControl w:val="0"/>
        <w:kinsoku/>
        <w:wordWrap/>
        <w:overflowPunct/>
        <w:autoSpaceDE/>
        <w:autoSpaceDN/>
        <w:bidi w:val="0"/>
        <w:adjustRightInd/>
        <w:snapToGrid/>
        <w:spacing w:line="560" w:lineRule="exact"/>
        <w:jc w:val="center"/>
        <w:textAlignment w:val="auto"/>
        <w:rPr>
          <w:rFonts w:ascii="仿宋_GB2312"/>
          <w:szCs w:val="32"/>
        </w:rPr>
      </w:pPr>
      <w:r>
        <w:rPr>
          <w:rFonts w:hint="default" w:ascii="Times New Roman" w:hAnsi="Times New Roman" w:eastAsia="仿宋_GB2312" w:cs="Times New Roman"/>
          <w:lang w:val="en-US" w:eastAsia="zh-CN"/>
        </w:rPr>
        <w:t xml:space="preserve">                           202</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A5A0399B"/>
    <w:multiLevelType w:val="singleLevel"/>
    <w:tmpl w:val="A5A0399B"/>
    <w:lvl w:ilvl="0" w:tentative="0">
      <w:start w:val="1"/>
      <w:numFmt w:val="decimal"/>
      <w:suff w:val="nothing"/>
      <w:lvlText w:val="%1、"/>
      <w:lvlJc w:val="left"/>
    </w:lvl>
  </w:abstractNum>
  <w:abstractNum w:abstractNumId="3">
    <w:nsid w:val="F8A2BB82"/>
    <w:multiLevelType w:val="singleLevel"/>
    <w:tmpl w:val="F8A2BB82"/>
    <w:lvl w:ilvl="0" w:tentative="0">
      <w:start w:val="1"/>
      <w:numFmt w:val="decimal"/>
      <w:suff w:val="nothing"/>
      <w:lvlText w:val="%1、"/>
      <w:lvlJc w:val="left"/>
    </w:lvl>
  </w:abstractNum>
  <w:abstractNum w:abstractNumId="4">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5">
    <w:nsid w:val="43B18715"/>
    <w:multiLevelType w:val="singleLevel"/>
    <w:tmpl w:val="43B18715"/>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96"/>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4E03D08"/>
    <w:rsid w:val="05AE36CA"/>
    <w:rsid w:val="06525C14"/>
    <w:rsid w:val="08563735"/>
    <w:rsid w:val="0D491A00"/>
    <w:rsid w:val="0F4F7876"/>
    <w:rsid w:val="13C77B8B"/>
    <w:rsid w:val="177C1352"/>
    <w:rsid w:val="198F4B69"/>
    <w:rsid w:val="1C2F476E"/>
    <w:rsid w:val="22B90AA8"/>
    <w:rsid w:val="252F7B2C"/>
    <w:rsid w:val="2A297AAA"/>
    <w:rsid w:val="2A957D1D"/>
    <w:rsid w:val="34BA06A5"/>
    <w:rsid w:val="378A5996"/>
    <w:rsid w:val="3A6E3F74"/>
    <w:rsid w:val="3AA426C0"/>
    <w:rsid w:val="3C9D478B"/>
    <w:rsid w:val="3E493A04"/>
    <w:rsid w:val="4181566C"/>
    <w:rsid w:val="477268B9"/>
    <w:rsid w:val="51C05EE5"/>
    <w:rsid w:val="55DA486D"/>
    <w:rsid w:val="5A3C6978"/>
    <w:rsid w:val="64301A26"/>
    <w:rsid w:val="67600811"/>
    <w:rsid w:val="6AE62ECF"/>
    <w:rsid w:val="6B2961AD"/>
    <w:rsid w:val="6DD56D9C"/>
    <w:rsid w:val="6E710353"/>
    <w:rsid w:val="6FCB46F4"/>
    <w:rsid w:val="789D155E"/>
    <w:rsid w:val="7B6F2E8B"/>
    <w:rsid w:val="7C440D14"/>
    <w:rsid w:val="7FD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14</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西北半张脸</cp:lastModifiedBy>
  <cp:lastPrinted>2020-03-17T03:50:00Z</cp:lastPrinted>
  <dcterms:modified xsi:type="dcterms:W3CDTF">2023-09-26T06:32:49Z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